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0545" w14:textId="77777777" w:rsidR="000A0AEB" w:rsidRPr="00FD436F" w:rsidRDefault="000A0AEB" w:rsidP="00B73C5D">
      <w:pPr>
        <w:rPr>
          <w:rFonts w:ascii="Corbel" w:hAnsi="Corbel"/>
          <w:b/>
          <w:color w:val="70AD47" w:themeColor="accent6"/>
          <w:sz w:val="40"/>
        </w:rPr>
      </w:pPr>
    </w:p>
    <w:p w14:paraId="027569A0" w14:textId="77777777" w:rsidR="00B73C5D" w:rsidRPr="00FD436F" w:rsidRDefault="00B73C5D" w:rsidP="00B73C5D">
      <w:pPr>
        <w:rPr>
          <w:rFonts w:ascii="Corbel" w:hAnsi="Corbel"/>
          <w:b/>
          <w:color w:val="70AD47" w:themeColor="accent6"/>
          <w:sz w:val="40"/>
        </w:rPr>
      </w:pPr>
    </w:p>
    <w:p w14:paraId="5022EA01" w14:textId="77777777" w:rsidR="004E7CEA" w:rsidRPr="00FD436F" w:rsidRDefault="004E7CEA" w:rsidP="004E7CEA">
      <w:pPr>
        <w:jc w:val="center"/>
        <w:rPr>
          <w:rFonts w:ascii="Corbel" w:hAnsi="Corbel"/>
          <w:b/>
          <w:color w:val="808080" w:themeColor="background1" w:themeShade="80"/>
          <w:sz w:val="40"/>
        </w:rPr>
      </w:pPr>
    </w:p>
    <w:p w14:paraId="41449084" w14:textId="66730D38" w:rsidR="005B51D8" w:rsidRPr="00FD436F" w:rsidRDefault="00FC62E5" w:rsidP="005B51D8">
      <w:pPr>
        <w:jc w:val="center"/>
        <w:rPr>
          <w:rFonts w:ascii="Calibri Light" w:hAnsi="Calibri Light" w:cs="Calibri Light"/>
          <w:b/>
          <w:sz w:val="40"/>
          <w:szCs w:val="40"/>
        </w:rPr>
      </w:pPr>
      <w:r w:rsidRPr="00FD436F">
        <w:rPr>
          <w:rFonts w:ascii="Calibri Light" w:hAnsi="Calibri Light" w:cs="Calibri Light"/>
          <w:b/>
          <w:sz w:val="40"/>
          <w:szCs w:val="40"/>
        </w:rPr>
        <w:t>CENTRAL AFRICAN REPUBLIC</w:t>
      </w:r>
    </w:p>
    <w:p w14:paraId="7E68DFF5" w14:textId="7157245B" w:rsidR="005B51D8" w:rsidRPr="00FD436F" w:rsidRDefault="0054447F" w:rsidP="005B51D8">
      <w:pPr>
        <w:jc w:val="center"/>
        <w:rPr>
          <w:rFonts w:ascii="Calibri Light" w:hAnsi="Calibri Light" w:cs="Calibri Light"/>
          <w:b/>
          <w:sz w:val="40"/>
          <w:szCs w:val="40"/>
        </w:rPr>
      </w:pPr>
      <w:r w:rsidRPr="0054447F">
        <w:rPr>
          <w:rFonts w:ascii="Calibri Light" w:hAnsi="Calibri Light" w:cs="Calibri Light"/>
          <w:b/>
          <w:sz w:val="40"/>
          <w:szCs w:val="40"/>
        </w:rPr>
        <w:t>Ministry of Economy, Planning and Cooperation</w:t>
      </w:r>
      <w:r w:rsidR="005B51D8" w:rsidRPr="00FD436F">
        <w:rPr>
          <w:rFonts w:ascii="Calibri Light" w:hAnsi="Calibri Light" w:cs="Calibri Light"/>
          <w:b/>
          <w:sz w:val="40"/>
          <w:szCs w:val="40"/>
        </w:rPr>
        <w:t xml:space="preserve"> (MEPC)</w:t>
      </w:r>
    </w:p>
    <w:p w14:paraId="16799474" w14:textId="5E0B955C" w:rsidR="004E7CEA" w:rsidRPr="00FD436F" w:rsidRDefault="004E7CEA" w:rsidP="004E7CEA">
      <w:pPr>
        <w:jc w:val="center"/>
        <w:rPr>
          <w:rFonts w:ascii="Corbel" w:hAnsi="Corbel"/>
          <w:b/>
          <w:sz w:val="48"/>
        </w:rPr>
      </w:pPr>
    </w:p>
    <w:p w14:paraId="78D53B93" w14:textId="0599AE6E" w:rsidR="008A77C3" w:rsidRPr="00FD436F" w:rsidRDefault="00FC62E5" w:rsidP="008A77C3">
      <w:pPr>
        <w:shd w:val="clear" w:color="auto" w:fill="F8F9FA"/>
        <w:spacing w:line="540" w:lineRule="atLeast"/>
        <w:jc w:val="center"/>
        <w:rPr>
          <w:rFonts w:asciiTheme="majorHAnsi" w:hAnsiTheme="majorHAnsi" w:cstheme="majorHAnsi"/>
          <w:b/>
          <w:bCs/>
          <w:color w:val="202124"/>
          <w:sz w:val="40"/>
          <w:szCs w:val="40"/>
        </w:rPr>
      </w:pPr>
      <w:r w:rsidRPr="00FD436F">
        <w:rPr>
          <w:rFonts w:asciiTheme="majorHAnsi" w:hAnsiTheme="majorHAnsi" w:cstheme="majorHAnsi"/>
          <w:b/>
          <w:bCs/>
          <w:color w:val="202124"/>
          <w:sz w:val="40"/>
          <w:szCs w:val="40"/>
        </w:rPr>
        <w:t>HUMAN CAPITAL PROJECT</w:t>
      </w:r>
      <w:r w:rsidR="008A77C3" w:rsidRPr="00FD436F">
        <w:rPr>
          <w:rFonts w:asciiTheme="majorHAnsi" w:hAnsiTheme="majorHAnsi" w:cstheme="majorHAnsi"/>
          <w:b/>
          <w:bCs/>
          <w:color w:val="202124"/>
          <w:sz w:val="40"/>
          <w:szCs w:val="40"/>
        </w:rPr>
        <w:t xml:space="preserve"> (Maïngo)</w:t>
      </w:r>
      <w:r w:rsidR="0079617C" w:rsidRPr="00FD436F">
        <w:rPr>
          <w:rFonts w:asciiTheme="majorHAnsi" w:hAnsiTheme="majorHAnsi" w:cstheme="majorHAnsi"/>
          <w:b/>
          <w:bCs/>
          <w:color w:val="202124"/>
          <w:sz w:val="40"/>
          <w:szCs w:val="40"/>
        </w:rPr>
        <w:t xml:space="preserve"> </w:t>
      </w:r>
      <w:r w:rsidR="00F2233A" w:rsidRPr="00FD436F">
        <w:rPr>
          <w:rFonts w:asciiTheme="majorHAnsi" w:hAnsiTheme="majorHAnsi" w:cstheme="majorHAnsi"/>
          <w:b/>
          <w:bCs/>
          <w:color w:val="202124"/>
          <w:sz w:val="40"/>
          <w:szCs w:val="40"/>
        </w:rPr>
        <w:t>–</w:t>
      </w:r>
      <w:r w:rsidR="0079617C" w:rsidRPr="00FD436F">
        <w:rPr>
          <w:rFonts w:asciiTheme="majorHAnsi" w:hAnsiTheme="majorHAnsi" w:cstheme="majorHAnsi"/>
          <w:b/>
          <w:bCs/>
          <w:color w:val="202124"/>
          <w:sz w:val="40"/>
          <w:szCs w:val="40"/>
        </w:rPr>
        <w:t xml:space="preserve"> </w:t>
      </w:r>
      <w:r w:rsidR="00F2233A" w:rsidRPr="00FD436F">
        <w:rPr>
          <w:rFonts w:asciiTheme="majorHAnsi" w:hAnsiTheme="majorHAnsi" w:cstheme="majorHAnsi"/>
          <w:b/>
          <w:bCs/>
          <w:color w:val="202124"/>
          <w:sz w:val="40"/>
          <w:szCs w:val="40"/>
        </w:rPr>
        <w:t>P171158</w:t>
      </w:r>
    </w:p>
    <w:p w14:paraId="7D6DD019" w14:textId="77777777" w:rsidR="008A77C3" w:rsidRPr="00FD436F" w:rsidRDefault="008A77C3" w:rsidP="004E7CEA">
      <w:pPr>
        <w:jc w:val="center"/>
        <w:rPr>
          <w:rFonts w:ascii="Corbel" w:hAnsi="Corbel"/>
          <w:b/>
          <w:sz w:val="48"/>
        </w:rPr>
      </w:pPr>
    </w:p>
    <w:p w14:paraId="7E249F98" w14:textId="77777777" w:rsidR="008A77C3" w:rsidRPr="00FD436F" w:rsidRDefault="008A77C3" w:rsidP="004E7CEA">
      <w:pPr>
        <w:jc w:val="center"/>
        <w:rPr>
          <w:rFonts w:ascii="Corbel" w:hAnsi="Corbel"/>
          <w:b/>
          <w:sz w:val="48"/>
        </w:rPr>
      </w:pPr>
    </w:p>
    <w:p w14:paraId="6F7746A1" w14:textId="0BA16435" w:rsidR="000A0AEB" w:rsidRPr="00FD436F" w:rsidRDefault="004A09A0" w:rsidP="004A09A0">
      <w:pPr>
        <w:jc w:val="center"/>
        <w:rPr>
          <w:rFonts w:ascii="Corbel" w:hAnsi="Corbel"/>
          <w:b/>
          <w:color w:val="4472C4" w:themeColor="accent1"/>
          <w:sz w:val="48"/>
        </w:rPr>
      </w:pPr>
      <w:r w:rsidRPr="00FD436F">
        <w:rPr>
          <w:rFonts w:ascii="Corbel" w:hAnsi="Corbel"/>
          <w:b/>
          <w:sz w:val="48"/>
        </w:rPr>
        <w:t xml:space="preserve">ENVIRONMENTAL AND SOCIAL COMMITMENT PLAN (ESCP) </w:t>
      </w:r>
    </w:p>
    <w:p w14:paraId="0AB72EB3" w14:textId="30875083" w:rsidR="00AD5BE9" w:rsidRPr="00FD436F" w:rsidRDefault="00AD5BE9" w:rsidP="00086A56">
      <w:pPr>
        <w:jc w:val="center"/>
        <w:rPr>
          <w:rFonts w:ascii="Corbel" w:hAnsi="Corbel"/>
          <w:b/>
          <w:color w:val="4472C4" w:themeColor="accent1"/>
          <w:sz w:val="48"/>
        </w:rPr>
      </w:pPr>
    </w:p>
    <w:p w14:paraId="52287001" w14:textId="77777777" w:rsidR="00AD5BE9" w:rsidRPr="00FD436F" w:rsidRDefault="00AD5BE9" w:rsidP="00086A56">
      <w:pPr>
        <w:jc w:val="center"/>
        <w:rPr>
          <w:rFonts w:ascii="Corbel" w:hAnsi="Corbel"/>
          <w:b/>
          <w:color w:val="4472C4" w:themeColor="accent1"/>
          <w:sz w:val="48"/>
        </w:rPr>
      </w:pPr>
    </w:p>
    <w:p w14:paraId="4DDD72F7" w14:textId="717042FC" w:rsidR="0075364D" w:rsidRPr="00FD436F" w:rsidRDefault="00B65E18" w:rsidP="004E7CEA">
      <w:pPr>
        <w:jc w:val="center"/>
        <w:rPr>
          <w:rFonts w:ascii="Corbel" w:hAnsi="Corbel"/>
          <w:b/>
          <w:sz w:val="48"/>
        </w:rPr>
      </w:pPr>
      <w:r>
        <w:rPr>
          <w:rFonts w:ascii="Corbel" w:hAnsi="Corbel"/>
          <w:b/>
          <w:sz w:val="48"/>
        </w:rPr>
        <w:t>April 4</w:t>
      </w:r>
      <w:r w:rsidR="00B73C5D" w:rsidRPr="00FD436F">
        <w:rPr>
          <w:rFonts w:ascii="Corbel" w:hAnsi="Corbel"/>
          <w:b/>
          <w:sz w:val="48"/>
        </w:rPr>
        <w:t xml:space="preserve">, </w:t>
      </w:r>
      <w:r w:rsidR="000566F5">
        <w:rPr>
          <w:rFonts w:ascii="Corbel" w:hAnsi="Corbel"/>
          <w:b/>
          <w:sz w:val="48"/>
        </w:rPr>
        <w:t>2021</w:t>
      </w:r>
    </w:p>
    <w:p w14:paraId="43905DE6" w14:textId="77777777" w:rsidR="00A54559" w:rsidRPr="00FD436F" w:rsidRDefault="004E7CEA" w:rsidP="004E7CEA">
      <w:pPr>
        <w:jc w:val="center"/>
        <w:rPr>
          <w:sz w:val="44"/>
        </w:rPr>
      </w:pPr>
      <w:r w:rsidRPr="00FD436F">
        <w:rPr>
          <w:sz w:val="44"/>
        </w:rPr>
        <w:br w:type="page"/>
      </w:r>
    </w:p>
    <w:p w14:paraId="38A110DC" w14:textId="3E63A438" w:rsidR="00DD7EB5" w:rsidRPr="00FD436F" w:rsidRDefault="00DD7EB5" w:rsidP="004E7CEA">
      <w:pPr>
        <w:jc w:val="center"/>
        <w:rPr>
          <w:rFonts w:ascii="Calibri" w:hAnsi="Calibri"/>
          <w:b/>
        </w:rPr>
      </w:pPr>
    </w:p>
    <w:p w14:paraId="5CC35149" w14:textId="25583E19" w:rsidR="004E7CEA" w:rsidRPr="00FD436F" w:rsidRDefault="004A09A0" w:rsidP="004E7CEA">
      <w:pPr>
        <w:jc w:val="center"/>
        <w:rPr>
          <w:rFonts w:ascii="Calibri" w:hAnsi="Calibri"/>
          <w:b/>
          <w:iCs/>
        </w:rPr>
      </w:pPr>
      <w:r w:rsidRPr="00FD436F">
        <w:rPr>
          <w:rFonts w:ascii="Calibri" w:hAnsi="Calibri"/>
          <w:b/>
          <w:iCs/>
        </w:rPr>
        <w:t>ENVIRONMENTAL AND SOCIAL COMMITMENT PLAN</w:t>
      </w:r>
      <w:r w:rsidR="000A0AEB" w:rsidRPr="00FD436F">
        <w:rPr>
          <w:rFonts w:ascii="Calibri" w:hAnsi="Calibri"/>
          <w:b/>
          <w:iCs/>
        </w:rPr>
        <w:t xml:space="preserve"> </w:t>
      </w:r>
    </w:p>
    <w:p w14:paraId="4C125388" w14:textId="77777777" w:rsidR="000A0AEB" w:rsidRPr="00FD436F" w:rsidRDefault="000A0AEB" w:rsidP="004E7CEA">
      <w:pPr>
        <w:jc w:val="center"/>
        <w:rPr>
          <w:rFonts w:ascii="Calibri" w:hAnsi="Calibri"/>
          <w:b/>
          <w:i/>
          <w:iCs/>
        </w:rPr>
      </w:pPr>
    </w:p>
    <w:p w14:paraId="75A7FD95" w14:textId="3BD38435" w:rsidR="0060748F" w:rsidRPr="00FD436F" w:rsidRDefault="0060748F" w:rsidP="0060748F">
      <w:pPr>
        <w:pStyle w:val="ListParagraph"/>
        <w:numPr>
          <w:ilvl w:val="0"/>
          <w:numId w:val="24"/>
        </w:numPr>
        <w:rPr>
          <w:rFonts w:ascii="Calibri" w:hAnsi="Calibri"/>
        </w:rPr>
      </w:pPr>
      <w:r w:rsidRPr="00FD436F">
        <w:rPr>
          <w:rFonts w:ascii="Calibri" w:hAnsi="Calibri"/>
        </w:rPr>
        <w:t xml:space="preserve">The Central African Republic </w:t>
      </w:r>
      <w:r w:rsidR="001E53D0">
        <w:rPr>
          <w:rFonts w:ascii="Calibri" w:hAnsi="Calibri"/>
        </w:rPr>
        <w:t>(hereinafter the Recipient)</w:t>
      </w:r>
      <w:r w:rsidRPr="00FD436F">
        <w:rPr>
          <w:rFonts w:ascii="Calibri" w:hAnsi="Calibri"/>
        </w:rPr>
        <w:t xml:space="preserve"> will implement the Human Capital Project (Maïngo or "evolution, progress" in Sango) (the Project) </w:t>
      </w:r>
      <w:r w:rsidR="001E53D0">
        <w:rPr>
          <w:rFonts w:ascii="Calibri" w:hAnsi="Calibri"/>
        </w:rPr>
        <w:t xml:space="preserve">through the Ministry of Economy, Planning and Cooperation (MECP) and a Project Implementation Unit (PIU). </w:t>
      </w:r>
      <w:r w:rsidRPr="00FD436F">
        <w:rPr>
          <w:rFonts w:ascii="Calibri" w:hAnsi="Calibri"/>
        </w:rPr>
        <w:t>The International Development Association (</w:t>
      </w:r>
      <w:r w:rsidR="001E53D0">
        <w:rPr>
          <w:rFonts w:ascii="Calibri" w:hAnsi="Calibri"/>
        </w:rPr>
        <w:t xml:space="preserve">hereinafter </w:t>
      </w:r>
      <w:r w:rsidRPr="00FD436F">
        <w:rPr>
          <w:rFonts w:ascii="Calibri" w:hAnsi="Calibri"/>
        </w:rPr>
        <w:t xml:space="preserve">the </w:t>
      </w:r>
      <w:r w:rsidR="001E53D0">
        <w:rPr>
          <w:rFonts w:ascii="Calibri" w:hAnsi="Calibri"/>
        </w:rPr>
        <w:t>World Bank</w:t>
      </w:r>
      <w:r w:rsidRPr="00FD436F">
        <w:rPr>
          <w:rFonts w:ascii="Calibri" w:hAnsi="Calibri"/>
        </w:rPr>
        <w:t xml:space="preserve">) has agreed to </w:t>
      </w:r>
      <w:r w:rsidR="00160DEE">
        <w:rPr>
          <w:rFonts w:ascii="Calibri" w:hAnsi="Calibri"/>
        </w:rPr>
        <w:t>provide</w:t>
      </w:r>
      <w:r w:rsidR="001E53D0">
        <w:rPr>
          <w:rFonts w:ascii="Calibri" w:hAnsi="Calibri"/>
        </w:rPr>
        <w:t xml:space="preserve"> financing </w:t>
      </w:r>
      <w:r w:rsidR="004B75CD">
        <w:rPr>
          <w:rFonts w:ascii="Calibri" w:hAnsi="Calibri"/>
        </w:rPr>
        <w:t xml:space="preserve">for </w:t>
      </w:r>
      <w:r w:rsidRPr="00FD436F">
        <w:rPr>
          <w:rFonts w:ascii="Calibri" w:hAnsi="Calibri"/>
        </w:rPr>
        <w:t>the Project.</w:t>
      </w:r>
    </w:p>
    <w:p w14:paraId="4F0471FE" w14:textId="571622C8" w:rsidR="0060748F" w:rsidRPr="00FD436F" w:rsidRDefault="0060748F" w:rsidP="0060748F">
      <w:pPr>
        <w:pStyle w:val="ListParagraph"/>
        <w:numPr>
          <w:ilvl w:val="0"/>
          <w:numId w:val="24"/>
        </w:numPr>
        <w:rPr>
          <w:rFonts w:ascii="Calibri" w:hAnsi="Calibri"/>
        </w:rPr>
      </w:pPr>
      <w:r w:rsidRPr="00FD436F">
        <w:rPr>
          <w:rFonts w:ascii="Calibri" w:hAnsi="Calibri"/>
        </w:rPr>
        <w:t xml:space="preserve">The </w:t>
      </w:r>
      <w:r w:rsidR="001E53D0">
        <w:rPr>
          <w:rFonts w:ascii="Calibri" w:hAnsi="Calibri"/>
        </w:rPr>
        <w:t>Recipient</w:t>
      </w:r>
      <w:r w:rsidRPr="00FD436F">
        <w:rPr>
          <w:rFonts w:ascii="Calibri" w:hAnsi="Calibri"/>
        </w:rPr>
        <w:t xml:space="preserve"> </w:t>
      </w:r>
      <w:r w:rsidR="00643062" w:rsidRPr="00FD436F">
        <w:rPr>
          <w:rFonts w:ascii="Calibri" w:hAnsi="Calibri"/>
        </w:rPr>
        <w:t>wil</w:t>
      </w:r>
      <w:r w:rsidR="00643062">
        <w:rPr>
          <w:rFonts w:ascii="Calibri" w:hAnsi="Calibri"/>
        </w:rPr>
        <w:t>l</w:t>
      </w:r>
      <w:r w:rsidR="00643062" w:rsidRPr="00FD436F">
        <w:rPr>
          <w:rFonts w:ascii="Calibri" w:hAnsi="Calibri"/>
        </w:rPr>
        <w:t xml:space="preserve"> </w:t>
      </w:r>
      <w:r w:rsidRPr="00FD436F">
        <w:rPr>
          <w:rFonts w:ascii="Calibri" w:hAnsi="Calibri"/>
        </w:rPr>
        <w:t xml:space="preserve">implement </w:t>
      </w:r>
      <w:r w:rsidR="00F11CE2">
        <w:rPr>
          <w:rFonts w:ascii="Calibri" w:hAnsi="Calibri"/>
        </w:rPr>
        <w:t>material</w:t>
      </w:r>
      <w:r w:rsidR="00F11CE2" w:rsidRPr="00FD436F">
        <w:rPr>
          <w:rFonts w:ascii="Calibri" w:hAnsi="Calibri"/>
        </w:rPr>
        <w:t xml:space="preserve"> </w:t>
      </w:r>
      <w:r w:rsidRPr="00FD436F">
        <w:rPr>
          <w:rFonts w:ascii="Calibri" w:hAnsi="Calibri"/>
        </w:rPr>
        <w:t xml:space="preserve">measures and actions </w:t>
      </w:r>
      <w:r w:rsidR="000A32A6" w:rsidRPr="00985180">
        <w:rPr>
          <w:rFonts w:ascii="Calibri" w:hAnsi="Calibri"/>
        </w:rPr>
        <w:t xml:space="preserve">so that the Project is implemented </w:t>
      </w:r>
      <w:r w:rsidRPr="00FD436F">
        <w:rPr>
          <w:rFonts w:ascii="Calibri" w:hAnsi="Calibri"/>
        </w:rPr>
        <w:t xml:space="preserve">in </w:t>
      </w:r>
      <w:r w:rsidR="000630E1">
        <w:rPr>
          <w:rFonts w:ascii="Calibri" w:hAnsi="Calibri"/>
        </w:rPr>
        <w:t>accordance</w:t>
      </w:r>
      <w:r w:rsidR="000630E1" w:rsidRPr="00FD436F">
        <w:rPr>
          <w:rFonts w:ascii="Calibri" w:hAnsi="Calibri"/>
        </w:rPr>
        <w:t xml:space="preserve"> </w:t>
      </w:r>
      <w:r w:rsidRPr="00FD436F">
        <w:rPr>
          <w:rFonts w:ascii="Calibri" w:hAnsi="Calibri"/>
        </w:rPr>
        <w:t xml:space="preserve">with the World Bank's Environmental and Social Standards (ESS). This Environmental and Social Commitment Plan (ESCP) </w:t>
      </w:r>
      <w:r w:rsidR="00105FB5">
        <w:rPr>
          <w:rFonts w:ascii="Calibri" w:hAnsi="Calibri"/>
        </w:rPr>
        <w:t>defines material</w:t>
      </w:r>
      <w:r w:rsidRPr="00FD436F">
        <w:rPr>
          <w:rFonts w:ascii="Calibri" w:hAnsi="Calibri"/>
        </w:rPr>
        <w:t xml:space="preserve"> measures and actions, </w:t>
      </w:r>
      <w:r w:rsidR="00105FB5">
        <w:rPr>
          <w:rFonts w:ascii="Calibri" w:hAnsi="Calibri"/>
        </w:rPr>
        <w:t xml:space="preserve">as well as any specific </w:t>
      </w:r>
      <w:r w:rsidRPr="00FD436F">
        <w:rPr>
          <w:rFonts w:ascii="Calibri" w:hAnsi="Calibri"/>
        </w:rPr>
        <w:t xml:space="preserve">documents or plans, and the </w:t>
      </w:r>
      <w:r w:rsidR="00105FB5">
        <w:rPr>
          <w:rFonts w:ascii="Calibri" w:hAnsi="Calibri"/>
        </w:rPr>
        <w:t>timing</w:t>
      </w:r>
      <w:r w:rsidR="00105FB5" w:rsidRPr="00FD436F">
        <w:rPr>
          <w:rFonts w:ascii="Calibri" w:hAnsi="Calibri"/>
        </w:rPr>
        <w:t xml:space="preserve"> </w:t>
      </w:r>
      <w:r w:rsidRPr="00FD436F">
        <w:rPr>
          <w:rFonts w:ascii="Calibri" w:hAnsi="Calibri"/>
        </w:rPr>
        <w:t>for each of them.</w:t>
      </w:r>
    </w:p>
    <w:p w14:paraId="1ADEDE92" w14:textId="1CB79718" w:rsidR="0060748F" w:rsidRPr="00FD436F" w:rsidRDefault="0060748F" w:rsidP="0060748F">
      <w:pPr>
        <w:pStyle w:val="ListParagraph"/>
        <w:numPr>
          <w:ilvl w:val="0"/>
          <w:numId w:val="24"/>
        </w:numPr>
        <w:rPr>
          <w:rFonts w:ascii="Calibri" w:hAnsi="Calibri"/>
        </w:rPr>
      </w:pPr>
      <w:r w:rsidRPr="00FD436F">
        <w:rPr>
          <w:rFonts w:ascii="Calibri" w:hAnsi="Calibri"/>
        </w:rPr>
        <w:t xml:space="preserve">The </w:t>
      </w:r>
      <w:r w:rsidR="001E53D0">
        <w:rPr>
          <w:rFonts w:ascii="Calibri" w:hAnsi="Calibri"/>
        </w:rPr>
        <w:t>Recipient</w:t>
      </w:r>
      <w:r w:rsidRPr="00FD436F">
        <w:rPr>
          <w:rFonts w:ascii="Calibri" w:hAnsi="Calibri"/>
        </w:rPr>
        <w:t xml:space="preserve"> will also comply with the provisions of any other Environmental and Social (E&amp;S) document</w:t>
      </w:r>
      <w:r w:rsidR="00105FB5">
        <w:rPr>
          <w:rFonts w:ascii="Calibri" w:hAnsi="Calibri"/>
        </w:rPr>
        <w:t>s</w:t>
      </w:r>
      <w:r w:rsidRPr="00FD436F">
        <w:rPr>
          <w:rFonts w:ascii="Calibri" w:hAnsi="Calibri"/>
        </w:rPr>
        <w:t xml:space="preserve"> required under the ESS and referred to in this ESCP, </w:t>
      </w:r>
      <w:r w:rsidR="00105FB5">
        <w:rPr>
          <w:rFonts w:ascii="Calibri" w:hAnsi="Calibri"/>
        </w:rPr>
        <w:t xml:space="preserve">such </w:t>
      </w:r>
      <w:r w:rsidR="00105FB5" w:rsidRPr="00FA0A88">
        <w:rPr>
          <w:rFonts w:ascii="Calibri" w:hAnsi="Calibri"/>
        </w:rPr>
        <w:t>as Environmental and Social Management Plans (ESMP), Resettlement Action Plans (RAP), Indigenous Peoples Plans (IPPs), and Stakeholder Engagement Plans (SEP)</w:t>
      </w:r>
      <w:r w:rsidR="00331E89">
        <w:rPr>
          <w:rFonts w:ascii="Calibri" w:hAnsi="Calibri"/>
        </w:rPr>
        <w:t>,</w:t>
      </w:r>
      <w:r w:rsidRPr="00FD436F">
        <w:rPr>
          <w:rFonts w:ascii="Calibri" w:hAnsi="Calibri"/>
        </w:rPr>
        <w:t xml:space="preserve"> Grievance Mechanism (GM) and the timelines specified in th</w:t>
      </w:r>
      <w:r w:rsidR="00105FB5">
        <w:rPr>
          <w:rFonts w:ascii="Calibri" w:hAnsi="Calibri"/>
        </w:rPr>
        <w:t>o</w:t>
      </w:r>
      <w:r w:rsidRPr="00FD436F">
        <w:rPr>
          <w:rFonts w:ascii="Calibri" w:hAnsi="Calibri"/>
        </w:rPr>
        <w:t>se E&amp;S documents.</w:t>
      </w:r>
    </w:p>
    <w:p w14:paraId="1658D6C6" w14:textId="4E870717" w:rsidR="0060748F" w:rsidRPr="00FD436F" w:rsidRDefault="0060748F" w:rsidP="0060748F">
      <w:pPr>
        <w:pStyle w:val="ListParagraph"/>
        <w:numPr>
          <w:ilvl w:val="0"/>
          <w:numId w:val="24"/>
        </w:numPr>
        <w:rPr>
          <w:rFonts w:ascii="Calibri" w:hAnsi="Calibri"/>
        </w:rPr>
      </w:pPr>
      <w:r w:rsidRPr="00FD436F">
        <w:rPr>
          <w:rFonts w:ascii="Calibri" w:hAnsi="Calibri"/>
        </w:rPr>
        <w:t xml:space="preserve">The </w:t>
      </w:r>
      <w:r w:rsidR="001E53D0">
        <w:rPr>
          <w:rFonts w:ascii="Calibri" w:hAnsi="Calibri"/>
        </w:rPr>
        <w:t>Recipient</w:t>
      </w:r>
      <w:r w:rsidRPr="00FD436F">
        <w:rPr>
          <w:rFonts w:ascii="Calibri" w:hAnsi="Calibri"/>
        </w:rPr>
        <w:t xml:space="preserve"> is responsible for compliance with all requirements of the ESCP, even when the implementation of specific measures and actions is </w:t>
      </w:r>
      <w:r w:rsidR="00105FB5">
        <w:rPr>
          <w:rFonts w:ascii="Calibri" w:hAnsi="Calibri"/>
        </w:rPr>
        <w:t>conducted</w:t>
      </w:r>
      <w:r w:rsidRPr="00FD436F">
        <w:rPr>
          <w:rFonts w:ascii="Calibri" w:hAnsi="Calibri"/>
        </w:rPr>
        <w:t xml:space="preserve"> by the Ministry or unit mentioned in 1 above.</w:t>
      </w:r>
    </w:p>
    <w:p w14:paraId="7BB73CE1" w14:textId="2B075F31" w:rsidR="0060748F" w:rsidRPr="00FD436F" w:rsidRDefault="0060748F" w:rsidP="0060748F">
      <w:pPr>
        <w:pStyle w:val="ListParagraph"/>
        <w:numPr>
          <w:ilvl w:val="0"/>
          <w:numId w:val="24"/>
        </w:numPr>
        <w:rPr>
          <w:rFonts w:ascii="Calibri" w:hAnsi="Calibri"/>
        </w:rPr>
      </w:pPr>
      <w:r w:rsidRPr="00FD436F">
        <w:rPr>
          <w:rFonts w:ascii="Calibri" w:hAnsi="Calibri"/>
        </w:rPr>
        <w:t xml:space="preserve">Implementation of the </w:t>
      </w:r>
      <w:r w:rsidR="00105FB5">
        <w:rPr>
          <w:rFonts w:ascii="Calibri" w:hAnsi="Calibri"/>
        </w:rPr>
        <w:t xml:space="preserve">material </w:t>
      </w:r>
      <w:r w:rsidRPr="00FD436F">
        <w:rPr>
          <w:rFonts w:ascii="Calibri" w:hAnsi="Calibri"/>
        </w:rPr>
        <w:t xml:space="preserve">measures and actions </w:t>
      </w:r>
      <w:r w:rsidR="00105FB5">
        <w:rPr>
          <w:rFonts w:ascii="Calibri" w:hAnsi="Calibri"/>
        </w:rPr>
        <w:t>set out</w:t>
      </w:r>
      <w:r w:rsidR="00105FB5" w:rsidRPr="00FD436F">
        <w:rPr>
          <w:rFonts w:ascii="Calibri" w:hAnsi="Calibri"/>
        </w:rPr>
        <w:t xml:space="preserve"> </w:t>
      </w:r>
      <w:r w:rsidRPr="00FD436F">
        <w:rPr>
          <w:rFonts w:ascii="Calibri" w:hAnsi="Calibri"/>
        </w:rPr>
        <w:t xml:space="preserve">in this ESCP will be monitored and reported to the </w:t>
      </w:r>
      <w:r w:rsidR="00105FB5">
        <w:rPr>
          <w:rFonts w:ascii="Calibri" w:hAnsi="Calibri"/>
        </w:rPr>
        <w:t>World Bank</w:t>
      </w:r>
      <w:r w:rsidR="00105FB5" w:rsidRPr="00FD436F">
        <w:rPr>
          <w:rFonts w:ascii="Calibri" w:hAnsi="Calibri"/>
        </w:rPr>
        <w:t xml:space="preserve"> </w:t>
      </w:r>
      <w:r w:rsidRPr="00FD436F">
        <w:rPr>
          <w:rFonts w:ascii="Calibri" w:hAnsi="Calibri"/>
        </w:rPr>
        <w:t xml:space="preserve">by the </w:t>
      </w:r>
      <w:r w:rsidR="00105FB5">
        <w:rPr>
          <w:rFonts w:ascii="Calibri" w:hAnsi="Calibri"/>
        </w:rPr>
        <w:t>Recipient</w:t>
      </w:r>
      <w:r w:rsidRPr="00FD436F">
        <w:rPr>
          <w:rFonts w:ascii="Calibri" w:hAnsi="Calibri"/>
        </w:rPr>
        <w:t xml:space="preserve">, </w:t>
      </w:r>
      <w:r w:rsidR="00105FB5">
        <w:rPr>
          <w:rFonts w:ascii="Calibri" w:hAnsi="Calibri"/>
        </w:rPr>
        <w:t>as required by</w:t>
      </w:r>
      <w:r w:rsidRPr="00FD436F">
        <w:rPr>
          <w:rFonts w:ascii="Calibri" w:hAnsi="Calibri"/>
        </w:rPr>
        <w:t xml:space="preserve"> the ESCP and the </w:t>
      </w:r>
      <w:r w:rsidR="00105FB5">
        <w:rPr>
          <w:rFonts w:ascii="Calibri" w:hAnsi="Calibri"/>
        </w:rPr>
        <w:t>conditions</w:t>
      </w:r>
      <w:r w:rsidR="00105FB5" w:rsidRPr="00FD436F">
        <w:rPr>
          <w:rFonts w:ascii="Calibri" w:hAnsi="Calibri"/>
        </w:rPr>
        <w:t xml:space="preserve"> </w:t>
      </w:r>
      <w:r w:rsidRPr="00FD436F">
        <w:rPr>
          <w:rFonts w:ascii="Calibri" w:hAnsi="Calibri"/>
        </w:rPr>
        <w:t xml:space="preserve">of the legal agreement, and the </w:t>
      </w:r>
      <w:r w:rsidR="00105FB5">
        <w:rPr>
          <w:rFonts w:ascii="Calibri" w:hAnsi="Calibri"/>
        </w:rPr>
        <w:t>World Bank</w:t>
      </w:r>
      <w:r w:rsidR="00105FB5" w:rsidRPr="00FD436F">
        <w:rPr>
          <w:rFonts w:ascii="Calibri" w:hAnsi="Calibri"/>
        </w:rPr>
        <w:t xml:space="preserve"> </w:t>
      </w:r>
      <w:r w:rsidRPr="00FD436F">
        <w:rPr>
          <w:rFonts w:ascii="Calibri" w:hAnsi="Calibri"/>
        </w:rPr>
        <w:t xml:space="preserve">will monitor and </w:t>
      </w:r>
      <w:r w:rsidR="00105FB5">
        <w:rPr>
          <w:rFonts w:ascii="Calibri" w:hAnsi="Calibri"/>
        </w:rPr>
        <w:t>assess</w:t>
      </w:r>
      <w:r w:rsidR="00105FB5" w:rsidRPr="00FD436F">
        <w:rPr>
          <w:rFonts w:ascii="Calibri" w:hAnsi="Calibri"/>
        </w:rPr>
        <w:t xml:space="preserve"> </w:t>
      </w:r>
      <w:r w:rsidRPr="00FD436F">
        <w:rPr>
          <w:rFonts w:ascii="Calibri" w:hAnsi="Calibri"/>
        </w:rPr>
        <w:t xml:space="preserve">progress and </w:t>
      </w:r>
      <w:r w:rsidR="00105FB5">
        <w:rPr>
          <w:rFonts w:ascii="Calibri" w:hAnsi="Calibri"/>
        </w:rPr>
        <w:t xml:space="preserve">completion of the material </w:t>
      </w:r>
      <w:r w:rsidRPr="00FD436F">
        <w:rPr>
          <w:rFonts w:ascii="Calibri" w:hAnsi="Calibri"/>
        </w:rPr>
        <w:t xml:space="preserve">measures and actions throughout the implementation of the </w:t>
      </w:r>
      <w:r w:rsidR="004E6CD3">
        <w:rPr>
          <w:rFonts w:ascii="Calibri" w:hAnsi="Calibri"/>
        </w:rPr>
        <w:t>Project</w:t>
      </w:r>
      <w:r w:rsidRPr="00FD436F">
        <w:rPr>
          <w:rFonts w:ascii="Calibri" w:hAnsi="Calibri"/>
        </w:rPr>
        <w:t>.</w:t>
      </w:r>
    </w:p>
    <w:p w14:paraId="1FF4A14B" w14:textId="36D669D5" w:rsidR="00387998" w:rsidRPr="00FD436F" w:rsidRDefault="0060748F" w:rsidP="0060748F">
      <w:pPr>
        <w:pStyle w:val="ListParagraph"/>
        <w:numPr>
          <w:ilvl w:val="0"/>
          <w:numId w:val="24"/>
        </w:numPr>
        <w:rPr>
          <w:rFonts w:ascii="Calibri" w:hAnsi="Calibri"/>
        </w:rPr>
      </w:pPr>
      <w:r w:rsidRPr="00FD436F">
        <w:rPr>
          <w:rFonts w:ascii="Calibri" w:hAnsi="Calibri"/>
        </w:rPr>
        <w:t xml:space="preserve">As agreed by the </w:t>
      </w:r>
      <w:r w:rsidR="00F1189D">
        <w:rPr>
          <w:rFonts w:ascii="Calibri" w:hAnsi="Calibri"/>
        </w:rPr>
        <w:t>World Bank</w:t>
      </w:r>
      <w:r w:rsidR="00F1189D" w:rsidRPr="00FD436F">
        <w:rPr>
          <w:rFonts w:ascii="Calibri" w:hAnsi="Calibri"/>
        </w:rPr>
        <w:t xml:space="preserve"> </w:t>
      </w:r>
      <w:r w:rsidRPr="00FD436F">
        <w:rPr>
          <w:rFonts w:ascii="Calibri" w:hAnsi="Calibri"/>
        </w:rPr>
        <w:t xml:space="preserve">and the </w:t>
      </w:r>
      <w:r w:rsidR="001E53D0">
        <w:rPr>
          <w:rFonts w:ascii="Calibri" w:hAnsi="Calibri"/>
        </w:rPr>
        <w:t>Recipient</w:t>
      </w:r>
      <w:r w:rsidRPr="00FD436F">
        <w:rPr>
          <w:rFonts w:ascii="Calibri" w:hAnsi="Calibri"/>
        </w:rPr>
        <w:t xml:space="preserve">, this ESCP may be revised from time to time during </w:t>
      </w:r>
      <w:r w:rsidR="00F1189D">
        <w:rPr>
          <w:rFonts w:ascii="Calibri" w:hAnsi="Calibri"/>
        </w:rPr>
        <w:t>Project preparation</w:t>
      </w:r>
      <w:r w:rsidRPr="00FD436F">
        <w:rPr>
          <w:rFonts w:ascii="Calibri" w:hAnsi="Calibri"/>
        </w:rPr>
        <w:t xml:space="preserve">, </w:t>
      </w:r>
      <w:r w:rsidR="00F26EBD">
        <w:rPr>
          <w:rFonts w:ascii="Calibri" w:hAnsi="Calibri"/>
        </w:rPr>
        <w:t>to</w:t>
      </w:r>
      <w:r w:rsidRPr="00FD436F">
        <w:rPr>
          <w:rFonts w:ascii="Calibri" w:hAnsi="Calibri"/>
        </w:rPr>
        <w:t xml:space="preserve"> reflect adaptive management of changes </w:t>
      </w:r>
      <w:r w:rsidR="00F1189D">
        <w:rPr>
          <w:rFonts w:ascii="Calibri" w:hAnsi="Calibri"/>
        </w:rPr>
        <w:t xml:space="preserve">in the </w:t>
      </w:r>
      <w:r w:rsidR="009320EA">
        <w:rPr>
          <w:rFonts w:ascii="Calibri" w:hAnsi="Calibri"/>
        </w:rPr>
        <w:t xml:space="preserve">Project </w:t>
      </w:r>
      <w:r w:rsidR="00A14787">
        <w:rPr>
          <w:rFonts w:ascii="Calibri" w:hAnsi="Calibri"/>
        </w:rPr>
        <w:t xml:space="preserve">and </w:t>
      </w:r>
      <w:r w:rsidRPr="00FD436F">
        <w:rPr>
          <w:rFonts w:ascii="Calibri" w:hAnsi="Calibri"/>
        </w:rPr>
        <w:t xml:space="preserve">unforeseen </w:t>
      </w:r>
      <w:r w:rsidR="00EA251C">
        <w:rPr>
          <w:rFonts w:ascii="Calibri" w:hAnsi="Calibri"/>
        </w:rPr>
        <w:t xml:space="preserve">circumstances </w:t>
      </w:r>
      <w:r w:rsidRPr="00FD436F">
        <w:rPr>
          <w:rFonts w:ascii="Calibri" w:hAnsi="Calibri"/>
        </w:rPr>
        <w:t xml:space="preserve">or in response to </w:t>
      </w:r>
      <w:r w:rsidR="00B23EE0">
        <w:rPr>
          <w:rFonts w:ascii="Calibri" w:hAnsi="Calibri"/>
        </w:rPr>
        <w:t xml:space="preserve">assessment </w:t>
      </w:r>
      <w:r w:rsidRPr="00FD436F">
        <w:rPr>
          <w:rFonts w:ascii="Calibri" w:hAnsi="Calibri"/>
        </w:rPr>
        <w:t xml:space="preserve">of the performance </w:t>
      </w:r>
      <w:r w:rsidR="00F1189D">
        <w:rPr>
          <w:rFonts w:ascii="Calibri" w:hAnsi="Calibri"/>
        </w:rPr>
        <w:t xml:space="preserve">of the </w:t>
      </w:r>
      <w:r w:rsidR="005D0EB3">
        <w:rPr>
          <w:rFonts w:ascii="Calibri" w:hAnsi="Calibri"/>
        </w:rPr>
        <w:t xml:space="preserve">Project </w:t>
      </w:r>
      <w:r w:rsidR="00F80F72">
        <w:rPr>
          <w:rFonts w:ascii="Calibri" w:hAnsi="Calibri"/>
        </w:rPr>
        <w:t>conducted</w:t>
      </w:r>
      <w:r w:rsidRPr="00FD436F">
        <w:rPr>
          <w:rFonts w:ascii="Calibri" w:hAnsi="Calibri"/>
        </w:rPr>
        <w:t xml:space="preserve"> under the ESCP itself. In such circumstances, the </w:t>
      </w:r>
      <w:r w:rsidR="001E53D0">
        <w:rPr>
          <w:rFonts w:ascii="Calibri" w:hAnsi="Calibri"/>
        </w:rPr>
        <w:t>Recipient</w:t>
      </w:r>
      <w:r w:rsidRPr="00FD436F">
        <w:rPr>
          <w:rFonts w:ascii="Calibri" w:hAnsi="Calibri"/>
        </w:rPr>
        <w:t xml:space="preserve"> </w:t>
      </w:r>
      <w:r w:rsidR="00F1189D">
        <w:rPr>
          <w:rFonts w:ascii="Calibri" w:hAnsi="Calibri"/>
        </w:rPr>
        <w:t>shall</w:t>
      </w:r>
      <w:r w:rsidR="00F1189D" w:rsidRPr="00FD436F">
        <w:rPr>
          <w:rFonts w:ascii="Calibri" w:hAnsi="Calibri"/>
        </w:rPr>
        <w:t xml:space="preserve"> </w:t>
      </w:r>
      <w:r w:rsidRPr="00FD436F">
        <w:rPr>
          <w:rFonts w:ascii="Calibri" w:hAnsi="Calibri"/>
        </w:rPr>
        <w:t xml:space="preserve">agree to these changes with the </w:t>
      </w:r>
      <w:r w:rsidR="00F1189D">
        <w:rPr>
          <w:rFonts w:ascii="Calibri" w:hAnsi="Calibri"/>
        </w:rPr>
        <w:t>World Bank</w:t>
      </w:r>
      <w:r w:rsidR="00F1189D" w:rsidRPr="00FD436F">
        <w:rPr>
          <w:rFonts w:ascii="Calibri" w:hAnsi="Calibri"/>
        </w:rPr>
        <w:t xml:space="preserve"> </w:t>
      </w:r>
      <w:r w:rsidRPr="00FD436F">
        <w:rPr>
          <w:rFonts w:ascii="Calibri" w:hAnsi="Calibri"/>
        </w:rPr>
        <w:t xml:space="preserve">and </w:t>
      </w:r>
      <w:r w:rsidR="004D0539">
        <w:rPr>
          <w:rFonts w:ascii="Calibri" w:hAnsi="Calibri"/>
        </w:rPr>
        <w:t>will update</w:t>
      </w:r>
      <w:r w:rsidRPr="00FD436F">
        <w:rPr>
          <w:rFonts w:ascii="Calibri" w:hAnsi="Calibri"/>
        </w:rPr>
        <w:t xml:space="preserve"> the ESCP to reflect </w:t>
      </w:r>
      <w:r w:rsidR="00F1189D">
        <w:rPr>
          <w:rFonts w:ascii="Calibri" w:hAnsi="Calibri"/>
        </w:rPr>
        <w:t>such changes</w:t>
      </w:r>
      <w:r w:rsidRPr="00FD436F">
        <w:rPr>
          <w:rFonts w:ascii="Calibri" w:hAnsi="Calibri"/>
        </w:rPr>
        <w:t xml:space="preserve">. Agreement on changes to the ESCP will be documented through the exchange of letters </w:t>
      </w:r>
      <w:r w:rsidR="00F1189D" w:rsidRPr="00FD436F">
        <w:rPr>
          <w:rFonts w:ascii="Calibri" w:hAnsi="Calibri"/>
        </w:rPr>
        <w:t xml:space="preserve">signed </w:t>
      </w:r>
      <w:r w:rsidRPr="00FD436F">
        <w:rPr>
          <w:rFonts w:ascii="Calibri" w:hAnsi="Calibri"/>
        </w:rPr>
        <w:t xml:space="preserve">between the </w:t>
      </w:r>
      <w:r w:rsidR="00F1189D">
        <w:rPr>
          <w:rFonts w:ascii="Calibri" w:hAnsi="Calibri"/>
        </w:rPr>
        <w:t>World Bank</w:t>
      </w:r>
      <w:r w:rsidR="00F1189D" w:rsidRPr="00FD436F">
        <w:rPr>
          <w:rFonts w:ascii="Calibri" w:hAnsi="Calibri"/>
        </w:rPr>
        <w:t xml:space="preserve"> </w:t>
      </w:r>
      <w:r w:rsidRPr="00FD436F">
        <w:rPr>
          <w:rFonts w:ascii="Calibri" w:hAnsi="Calibri"/>
        </w:rPr>
        <w:t xml:space="preserve">and the </w:t>
      </w:r>
      <w:r w:rsidR="001E53D0">
        <w:rPr>
          <w:rFonts w:ascii="Calibri" w:hAnsi="Calibri"/>
        </w:rPr>
        <w:t>Recipient</w:t>
      </w:r>
      <w:r w:rsidR="00565A07" w:rsidRPr="00FD436F">
        <w:rPr>
          <w:rFonts w:ascii="Calibri" w:hAnsi="Calibri"/>
        </w:rPr>
        <w:t xml:space="preserve">. The </w:t>
      </w:r>
      <w:r w:rsidR="00F1189D">
        <w:rPr>
          <w:rFonts w:ascii="Calibri" w:hAnsi="Calibri"/>
        </w:rPr>
        <w:t xml:space="preserve">Recipient shall </w:t>
      </w:r>
      <w:r w:rsidRPr="00FD436F">
        <w:rPr>
          <w:rFonts w:ascii="Calibri" w:hAnsi="Calibri"/>
        </w:rPr>
        <w:t>promptly disclose</w:t>
      </w:r>
      <w:r w:rsidR="00F1189D">
        <w:rPr>
          <w:rFonts w:ascii="Calibri" w:hAnsi="Calibri"/>
        </w:rPr>
        <w:t xml:space="preserve"> the updated ESCP</w:t>
      </w:r>
      <w:r w:rsidRPr="00FD436F">
        <w:rPr>
          <w:rFonts w:ascii="Calibri" w:hAnsi="Calibri"/>
        </w:rPr>
        <w:t>.</w:t>
      </w:r>
    </w:p>
    <w:p w14:paraId="2B426AEE" w14:textId="2B5B634C" w:rsidR="00387998" w:rsidRPr="00FD436F" w:rsidRDefault="0060748F" w:rsidP="0060748F">
      <w:pPr>
        <w:pStyle w:val="ListParagraph"/>
        <w:numPr>
          <w:ilvl w:val="0"/>
          <w:numId w:val="24"/>
        </w:numPr>
        <w:rPr>
          <w:rFonts w:ascii="Calibri" w:hAnsi="Calibri"/>
        </w:rPr>
      </w:pPr>
      <w:r w:rsidRPr="00FD436F">
        <w:rPr>
          <w:rFonts w:ascii="Calibri" w:hAnsi="Calibri"/>
        </w:rPr>
        <w:t xml:space="preserve">Where </w:t>
      </w:r>
      <w:r w:rsidR="00F1189D">
        <w:rPr>
          <w:rFonts w:ascii="Calibri" w:hAnsi="Calibri"/>
        </w:rPr>
        <w:t xml:space="preserve">the </w:t>
      </w:r>
      <w:r w:rsidR="00731AED">
        <w:rPr>
          <w:rFonts w:ascii="Calibri" w:hAnsi="Calibri"/>
        </w:rPr>
        <w:t>changes</w:t>
      </w:r>
      <w:r w:rsidR="00F1189D">
        <w:rPr>
          <w:rFonts w:ascii="Calibri" w:hAnsi="Calibri"/>
        </w:rPr>
        <w:t xml:space="preserve"> in the </w:t>
      </w:r>
      <w:r w:rsidR="003B4881">
        <w:rPr>
          <w:rFonts w:ascii="Calibri" w:hAnsi="Calibri"/>
        </w:rPr>
        <w:t>Project</w:t>
      </w:r>
      <w:r w:rsidRPr="00FD436F">
        <w:rPr>
          <w:rFonts w:ascii="Calibri" w:hAnsi="Calibri"/>
        </w:rPr>
        <w:t>, unforeseen circumstances</w:t>
      </w:r>
      <w:r w:rsidR="001F42F4">
        <w:rPr>
          <w:rFonts w:ascii="Calibri" w:hAnsi="Calibri"/>
        </w:rPr>
        <w:t>,</w:t>
      </w:r>
      <w:r w:rsidRPr="00FD436F">
        <w:rPr>
          <w:rFonts w:ascii="Calibri" w:hAnsi="Calibri"/>
        </w:rPr>
        <w:t xml:space="preserve"> or </w:t>
      </w:r>
      <w:r w:rsidR="00F1189D">
        <w:rPr>
          <w:rFonts w:ascii="Calibri" w:hAnsi="Calibri"/>
        </w:rPr>
        <w:t>the</w:t>
      </w:r>
      <w:r w:rsidR="00F1189D" w:rsidRPr="00FD436F">
        <w:rPr>
          <w:rFonts w:ascii="Calibri" w:hAnsi="Calibri"/>
        </w:rPr>
        <w:t xml:space="preserve"> </w:t>
      </w:r>
      <w:r w:rsidRPr="00FD436F">
        <w:rPr>
          <w:rFonts w:ascii="Calibri" w:hAnsi="Calibri"/>
        </w:rPr>
        <w:t xml:space="preserve">performance </w:t>
      </w:r>
      <w:r w:rsidR="00F1189D">
        <w:rPr>
          <w:rFonts w:ascii="Calibri" w:hAnsi="Calibri"/>
        </w:rPr>
        <w:t xml:space="preserve">of the </w:t>
      </w:r>
      <w:r w:rsidR="00756000">
        <w:rPr>
          <w:rFonts w:ascii="Calibri" w:hAnsi="Calibri"/>
        </w:rPr>
        <w:t xml:space="preserve">Project </w:t>
      </w:r>
      <w:r w:rsidRPr="00FD436F">
        <w:rPr>
          <w:rFonts w:ascii="Calibri" w:hAnsi="Calibri"/>
        </w:rPr>
        <w:t>result in changes</w:t>
      </w:r>
      <w:r w:rsidR="001F42F4">
        <w:rPr>
          <w:rFonts w:ascii="Calibri" w:hAnsi="Calibri"/>
        </w:rPr>
        <w:t xml:space="preserve"> to the </w:t>
      </w:r>
      <w:r w:rsidRPr="00FD436F">
        <w:rPr>
          <w:rFonts w:ascii="Calibri" w:hAnsi="Calibri"/>
        </w:rPr>
        <w:t>risks and impacts</w:t>
      </w:r>
      <w:r w:rsidR="00114482">
        <w:rPr>
          <w:rFonts w:ascii="Calibri" w:hAnsi="Calibri"/>
        </w:rPr>
        <w:t xml:space="preserve"> during the implementation of the </w:t>
      </w:r>
      <w:r w:rsidR="00756000">
        <w:rPr>
          <w:rFonts w:ascii="Calibri" w:hAnsi="Calibri"/>
        </w:rPr>
        <w:t>Project</w:t>
      </w:r>
      <w:r w:rsidRPr="00FD436F">
        <w:rPr>
          <w:rFonts w:ascii="Calibri" w:hAnsi="Calibri"/>
        </w:rPr>
        <w:t xml:space="preserve">, the </w:t>
      </w:r>
      <w:r w:rsidR="001E53D0">
        <w:rPr>
          <w:rFonts w:ascii="Calibri" w:hAnsi="Calibri"/>
        </w:rPr>
        <w:t>Recipient</w:t>
      </w:r>
      <w:r w:rsidRPr="00FD436F">
        <w:rPr>
          <w:rFonts w:ascii="Calibri" w:hAnsi="Calibri"/>
        </w:rPr>
        <w:t xml:space="preserve"> </w:t>
      </w:r>
      <w:r w:rsidR="00114482">
        <w:rPr>
          <w:rFonts w:ascii="Calibri" w:hAnsi="Calibri"/>
        </w:rPr>
        <w:t>shall</w:t>
      </w:r>
      <w:r w:rsidR="00114482" w:rsidRPr="00FD436F">
        <w:rPr>
          <w:rFonts w:ascii="Calibri" w:hAnsi="Calibri"/>
        </w:rPr>
        <w:t xml:space="preserve"> </w:t>
      </w:r>
      <w:r w:rsidRPr="00FD436F">
        <w:rPr>
          <w:rFonts w:ascii="Calibri" w:hAnsi="Calibri"/>
        </w:rPr>
        <w:t xml:space="preserve">provide additional funds, if </w:t>
      </w:r>
      <w:r w:rsidR="00114482">
        <w:rPr>
          <w:rFonts w:ascii="Calibri" w:hAnsi="Calibri"/>
        </w:rPr>
        <w:t>needed</w:t>
      </w:r>
      <w:r w:rsidRPr="00FD436F">
        <w:rPr>
          <w:rFonts w:ascii="Calibri" w:hAnsi="Calibri"/>
        </w:rPr>
        <w:t xml:space="preserve">, to implement actions and measures to address </w:t>
      </w:r>
      <w:r w:rsidR="003A2FF0">
        <w:rPr>
          <w:rFonts w:ascii="Calibri" w:hAnsi="Calibri"/>
        </w:rPr>
        <w:t>such</w:t>
      </w:r>
      <w:r w:rsidR="003A2FF0" w:rsidRPr="00FD436F">
        <w:rPr>
          <w:rFonts w:ascii="Calibri" w:hAnsi="Calibri"/>
        </w:rPr>
        <w:t xml:space="preserve"> </w:t>
      </w:r>
      <w:r w:rsidRPr="00FD436F">
        <w:rPr>
          <w:rFonts w:ascii="Calibri" w:hAnsi="Calibri"/>
        </w:rPr>
        <w:t xml:space="preserve">risks and impacts, which may include environmental, health and safety impacts, labor influx, and </w:t>
      </w:r>
      <w:r w:rsidR="0048715B">
        <w:rPr>
          <w:rFonts w:ascii="Calibri" w:hAnsi="Calibri"/>
        </w:rPr>
        <w:t>G</w:t>
      </w:r>
      <w:r w:rsidRPr="00FD436F">
        <w:rPr>
          <w:rFonts w:ascii="Calibri" w:hAnsi="Calibri"/>
        </w:rPr>
        <w:t>ender-</w:t>
      </w:r>
      <w:r w:rsidR="0048715B">
        <w:rPr>
          <w:rFonts w:ascii="Calibri" w:hAnsi="Calibri"/>
        </w:rPr>
        <w:t>B</w:t>
      </w:r>
      <w:r w:rsidRPr="00FD436F">
        <w:rPr>
          <w:rFonts w:ascii="Calibri" w:hAnsi="Calibri"/>
        </w:rPr>
        <w:t xml:space="preserve">ased </w:t>
      </w:r>
      <w:r w:rsidR="0048715B">
        <w:rPr>
          <w:rFonts w:ascii="Calibri" w:hAnsi="Calibri"/>
        </w:rPr>
        <w:t>V</w:t>
      </w:r>
      <w:r w:rsidRPr="00FD436F">
        <w:rPr>
          <w:rFonts w:ascii="Calibri" w:hAnsi="Calibri"/>
        </w:rPr>
        <w:t>iolence</w:t>
      </w:r>
      <w:r w:rsidR="0048715B">
        <w:rPr>
          <w:rFonts w:ascii="Calibri" w:hAnsi="Calibri"/>
        </w:rPr>
        <w:t xml:space="preserve"> (GBV)</w:t>
      </w:r>
      <w:r w:rsidRPr="00FD436F">
        <w:rPr>
          <w:rFonts w:ascii="Calibri" w:hAnsi="Calibri"/>
        </w:rPr>
        <w:t>.</w:t>
      </w:r>
    </w:p>
    <w:p w14:paraId="662AEE8E" w14:textId="27C790AB" w:rsidR="00C35CAD" w:rsidRPr="00FD436F" w:rsidRDefault="00C35CAD" w:rsidP="00052A0B">
      <w:pPr>
        <w:pStyle w:val="ListParagraph"/>
        <w:ind w:left="630" w:firstLine="0"/>
        <w:rPr>
          <w:rFonts w:ascii="Calibri" w:hAnsi="Calibri"/>
        </w:rPr>
      </w:pPr>
    </w:p>
    <w:p w14:paraId="0BDB0902" w14:textId="77777777" w:rsidR="009D3718" w:rsidRPr="00FD436F" w:rsidRDefault="009D3718" w:rsidP="00250A05">
      <w:pPr>
        <w:rPr>
          <w:rFonts w:ascii="Calibri" w:hAnsi="Calibri"/>
        </w:rPr>
        <w:sectPr w:rsidR="009D3718" w:rsidRPr="00FD436F" w:rsidSect="009D3718">
          <w:headerReference w:type="even" r:id="rId11"/>
          <w:headerReference w:type="default" r:id="rId12"/>
          <w:footerReference w:type="even" r:id="rId13"/>
          <w:footerReference w:type="default" r:id="rId14"/>
          <w:headerReference w:type="first" r:id="rId15"/>
          <w:footerReference w:type="first" r:id="rId16"/>
          <w:pgSz w:w="11906" w:h="16838" w:code="9"/>
          <w:pgMar w:top="720" w:right="1170" w:bottom="720" w:left="990" w:header="720" w:footer="720" w:gutter="0"/>
          <w:cols w:space="720"/>
          <w:docGrid w:linePitch="360"/>
        </w:sectPr>
      </w:pPr>
    </w:p>
    <w:tbl>
      <w:tblPr>
        <w:tblStyle w:val="TableGrid"/>
        <w:tblW w:w="14742" w:type="dxa"/>
        <w:jc w:val="center"/>
        <w:tblLayout w:type="fixed"/>
        <w:tblCellMar>
          <w:left w:w="115" w:type="dxa"/>
          <w:right w:w="115" w:type="dxa"/>
        </w:tblCellMar>
        <w:tblLook w:val="04A0" w:firstRow="1" w:lastRow="0" w:firstColumn="1" w:lastColumn="0" w:noHBand="0" w:noVBand="1"/>
      </w:tblPr>
      <w:tblGrid>
        <w:gridCol w:w="737"/>
        <w:gridCol w:w="6307"/>
        <w:gridCol w:w="3803"/>
        <w:gridCol w:w="3895"/>
      </w:tblGrid>
      <w:tr w:rsidR="00AB0D21" w:rsidRPr="00FD436F" w14:paraId="09030FFB" w14:textId="75F5AA1A" w:rsidTr="009D5AA1">
        <w:trPr>
          <w:trHeight w:val="56"/>
          <w:tblHeader/>
          <w:jc w:val="center"/>
        </w:trPr>
        <w:tc>
          <w:tcPr>
            <w:tcW w:w="7044" w:type="dxa"/>
            <w:gridSpan w:val="2"/>
            <w:tcBorders>
              <w:top w:val="single" w:sz="4" w:space="0" w:color="000000"/>
            </w:tcBorders>
            <w:shd w:val="clear" w:color="auto" w:fill="C5E0B3" w:themeFill="accent6" w:themeFillTint="66"/>
          </w:tcPr>
          <w:p w14:paraId="0C62ED1D" w14:textId="4C9BEE8B" w:rsidR="00AB0D21" w:rsidRPr="00FD436F" w:rsidRDefault="00EE69C2" w:rsidP="007D782D">
            <w:pPr>
              <w:keepLines/>
              <w:widowControl w:val="0"/>
              <w:spacing w:before="60" w:after="60"/>
              <w:jc w:val="center"/>
              <w:rPr>
                <w:rFonts w:cstheme="minorHAnsi"/>
                <w:b/>
                <w:sz w:val="20"/>
                <w:szCs w:val="20"/>
              </w:rPr>
            </w:pPr>
            <w:r>
              <w:rPr>
                <w:b/>
                <w:bCs/>
              </w:rPr>
              <w:lastRenderedPageBreak/>
              <w:t xml:space="preserve">MATERIAL </w:t>
            </w:r>
            <w:r w:rsidR="00AB0D21" w:rsidRPr="00FD436F">
              <w:rPr>
                <w:b/>
                <w:bCs/>
              </w:rPr>
              <w:t>MEASURES AND ACTIONS</w:t>
            </w:r>
          </w:p>
        </w:tc>
        <w:tc>
          <w:tcPr>
            <w:tcW w:w="3803" w:type="dxa"/>
            <w:tcBorders>
              <w:top w:val="single" w:sz="4" w:space="0" w:color="000000"/>
            </w:tcBorders>
            <w:shd w:val="clear" w:color="auto" w:fill="C5E0B3" w:themeFill="accent6" w:themeFillTint="66"/>
          </w:tcPr>
          <w:p w14:paraId="0F9A1F85" w14:textId="5ACBDFAD" w:rsidR="00AB0D21" w:rsidRPr="00FD436F" w:rsidRDefault="00AB0D21" w:rsidP="007D782D">
            <w:pPr>
              <w:keepLines/>
              <w:widowControl w:val="0"/>
              <w:spacing w:before="60" w:after="60"/>
              <w:jc w:val="center"/>
              <w:rPr>
                <w:rFonts w:cstheme="minorHAnsi"/>
                <w:b/>
                <w:sz w:val="20"/>
                <w:szCs w:val="20"/>
              </w:rPr>
            </w:pPr>
            <w:r>
              <w:rPr>
                <w:b/>
                <w:bCs/>
              </w:rPr>
              <w:t>TIMEFRAME</w:t>
            </w:r>
          </w:p>
        </w:tc>
        <w:tc>
          <w:tcPr>
            <w:tcW w:w="3895" w:type="dxa"/>
            <w:tcBorders>
              <w:top w:val="single" w:sz="4" w:space="0" w:color="000000"/>
            </w:tcBorders>
            <w:shd w:val="clear" w:color="auto" w:fill="C5E0B3" w:themeFill="accent6" w:themeFillTint="66"/>
          </w:tcPr>
          <w:p w14:paraId="26B7F86D" w14:textId="20ADA2B2" w:rsidR="00AB0D21" w:rsidRPr="00FD436F" w:rsidRDefault="00AB0D21" w:rsidP="007D782D">
            <w:pPr>
              <w:keepLines/>
              <w:widowControl w:val="0"/>
              <w:spacing w:before="60" w:after="60"/>
              <w:jc w:val="center"/>
              <w:rPr>
                <w:rFonts w:cstheme="minorHAnsi"/>
                <w:b/>
                <w:sz w:val="20"/>
                <w:szCs w:val="20"/>
              </w:rPr>
            </w:pPr>
            <w:r w:rsidRPr="00FD436F">
              <w:rPr>
                <w:b/>
                <w:bCs/>
              </w:rPr>
              <w:t>RESPONSIBLE ENTITY/AUTHORITY</w:t>
            </w:r>
          </w:p>
        </w:tc>
      </w:tr>
      <w:tr w:rsidR="00AB0D21" w:rsidRPr="00FD436F" w14:paraId="449656D7" w14:textId="40922C55" w:rsidTr="009D5AA1">
        <w:trPr>
          <w:trHeight w:val="20"/>
          <w:jc w:val="center"/>
        </w:trPr>
        <w:tc>
          <w:tcPr>
            <w:tcW w:w="14742" w:type="dxa"/>
            <w:gridSpan w:val="4"/>
            <w:tcBorders>
              <w:bottom w:val="single" w:sz="4" w:space="0" w:color="auto"/>
            </w:tcBorders>
            <w:shd w:val="clear" w:color="auto" w:fill="F4B083" w:themeFill="accent2" w:themeFillTint="99"/>
          </w:tcPr>
          <w:p w14:paraId="41D5DD44" w14:textId="5BDF7CC7" w:rsidR="00AB0D21" w:rsidRPr="00FD436F" w:rsidDel="00777D1F" w:rsidRDefault="00AB0D21" w:rsidP="00F83C0B">
            <w:pPr>
              <w:pStyle w:val="ESSHeading"/>
              <w:rPr>
                <w:sz w:val="20"/>
                <w:szCs w:val="20"/>
              </w:rPr>
            </w:pPr>
            <w:r w:rsidRPr="00FD436F">
              <w:t>MONITORING AND REPORT</w:t>
            </w:r>
            <w:r>
              <w:t>ING</w:t>
            </w:r>
          </w:p>
        </w:tc>
      </w:tr>
      <w:tr w:rsidR="00AB0D21" w:rsidRPr="00FD436F" w14:paraId="0FBBB46F" w14:textId="2E748B7C" w:rsidTr="009D5AA1">
        <w:trPr>
          <w:trHeight w:val="20"/>
          <w:jc w:val="center"/>
        </w:trPr>
        <w:tc>
          <w:tcPr>
            <w:tcW w:w="737" w:type="dxa"/>
            <w:tcBorders>
              <w:bottom w:val="single" w:sz="4" w:space="0" w:color="auto"/>
            </w:tcBorders>
          </w:tcPr>
          <w:p w14:paraId="07CC6849" w14:textId="346952FF" w:rsidR="00AB0D21" w:rsidRPr="00FD436F" w:rsidRDefault="00AB0D21" w:rsidP="009D5AA1">
            <w:pPr>
              <w:pStyle w:val="Tableauparagraphe"/>
            </w:pPr>
            <w:r w:rsidRPr="00FD436F">
              <w:t>A</w:t>
            </w:r>
          </w:p>
        </w:tc>
        <w:tc>
          <w:tcPr>
            <w:tcW w:w="6307" w:type="dxa"/>
            <w:tcBorders>
              <w:bottom w:val="single" w:sz="4" w:space="0" w:color="auto"/>
            </w:tcBorders>
            <w:shd w:val="clear" w:color="auto" w:fill="FFFFFF" w:themeFill="background1"/>
          </w:tcPr>
          <w:p w14:paraId="35AE888E" w14:textId="2316A758" w:rsidR="00AB0D21" w:rsidRPr="00FD436F" w:rsidRDefault="00AB0D21" w:rsidP="00FB27EF">
            <w:pPr>
              <w:pStyle w:val="HeadingMeasure"/>
            </w:pPr>
            <w:r w:rsidRPr="00FD436F">
              <w:t>REGULAR REPORT</w:t>
            </w:r>
            <w:r>
              <w:t>ING</w:t>
            </w:r>
          </w:p>
          <w:p w14:paraId="47C9621B" w14:textId="2D946A34" w:rsidR="003B384E" w:rsidRPr="00FD436F" w:rsidRDefault="00AB0D21" w:rsidP="007D782D">
            <w:pPr>
              <w:pStyle w:val="Tableauparagraphe"/>
              <w:rPr>
                <w:rFonts w:cstheme="minorHAnsi"/>
              </w:rPr>
            </w:pPr>
            <w:r w:rsidRPr="00FD436F">
              <w:t xml:space="preserve">The </w:t>
            </w:r>
            <w:r w:rsidR="00114482">
              <w:t>Recipient</w:t>
            </w:r>
            <w:r w:rsidRPr="00FD436F">
              <w:t xml:space="preserve"> will prepare and submit to the </w:t>
            </w:r>
            <w:r w:rsidR="00114482">
              <w:t>World Bank</w:t>
            </w:r>
            <w:r w:rsidRPr="00FD436F">
              <w:t xml:space="preserve"> regular monitoring reports on the Environmental, Social, Health and Safety</w:t>
            </w:r>
            <w:r w:rsidR="0000664A">
              <w:t xml:space="preserve"> (ESHS) performance of the Project</w:t>
            </w:r>
            <w:r w:rsidR="009773B3">
              <w:t>, including but not limited to</w:t>
            </w:r>
            <w:r w:rsidRPr="00FD436F">
              <w:t xml:space="preserve"> </w:t>
            </w:r>
            <w:r w:rsidR="00011E4D">
              <w:t xml:space="preserve">Stakeholder engagement and </w:t>
            </w:r>
            <w:r w:rsidR="00A77C21">
              <w:t>grievances log</w:t>
            </w:r>
            <w:r w:rsidRPr="00FD436F">
              <w:t>.</w:t>
            </w:r>
          </w:p>
        </w:tc>
        <w:tc>
          <w:tcPr>
            <w:tcW w:w="3803" w:type="dxa"/>
            <w:tcBorders>
              <w:bottom w:val="single" w:sz="4" w:space="0" w:color="auto"/>
            </w:tcBorders>
          </w:tcPr>
          <w:p w14:paraId="19A80186" w14:textId="5EB25B92" w:rsidR="00AB0D21" w:rsidRPr="00FD436F" w:rsidRDefault="00AB0D21" w:rsidP="005D394E">
            <w:pPr>
              <w:keepLines/>
              <w:widowControl w:val="0"/>
              <w:rPr>
                <w:rFonts w:cstheme="minorHAnsi"/>
              </w:rPr>
            </w:pPr>
            <w:r w:rsidRPr="00FD436F">
              <w:rPr>
                <w:rFonts w:eastAsia="Times New Roman" w:cstheme="minorHAnsi"/>
                <w:bCs/>
                <w:i/>
              </w:rPr>
              <w:t xml:space="preserve">Quarterly, throughout the </w:t>
            </w:r>
            <w:r w:rsidR="00BC0A3C">
              <w:rPr>
                <w:rFonts w:eastAsia="Times New Roman" w:cstheme="minorHAnsi"/>
                <w:bCs/>
                <w:i/>
              </w:rPr>
              <w:t>Project</w:t>
            </w:r>
            <w:r w:rsidR="00BC0A3C" w:rsidRPr="00FD436F">
              <w:rPr>
                <w:rFonts w:eastAsia="Times New Roman" w:cstheme="minorHAnsi"/>
                <w:bCs/>
                <w:i/>
              </w:rPr>
              <w:t xml:space="preserve"> </w:t>
            </w:r>
            <w:r w:rsidRPr="00FD436F">
              <w:rPr>
                <w:rFonts w:cstheme="minorHAnsi"/>
              </w:rPr>
              <w:t>implementation</w:t>
            </w:r>
            <w:r w:rsidR="00BC0A3C">
              <w:rPr>
                <w:rFonts w:cstheme="minorHAnsi"/>
              </w:rPr>
              <w:t xml:space="preserve"> period</w:t>
            </w:r>
          </w:p>
        </w:tc>
        <w:tc>
          <w:tcPr>
            <w:tcW w:w="3895" w:type="dxa"/>
            <w:tcBorders>
              <w:bottom w:val="single" w:sz="4" w:space="0" w:color="auto"/>
            </w:tcBorders>
          </w:tcPr>
          <w:p w14:paraId="5D4F34D0" w14:textId="16985460" w:rsidR="00AB0D21" w:rsidRPr="00FD436F" w:rsidRDefault="00AB0D21" w:rsidP="00CD6D41">
            <w:pPr>
              <w:keepLines/>
              <w:widowControl w:val="0"/>
              <w:rPr>
                <w:rFonts w:cstheme="minorHAnsi"/>
              </w:rPr>
            </w:pPr>
            <w:r w:rsidRPr="00FD436F">
              <w:rPr>
                <w:rFonts w:cstheme="minorHAnsi"/>
              </w:rPr>
              <w:t xml:space="preserve">MEPC, </w:t>
            </w:r>
            <w:r w:rsidR="00D45DDB">
              <w:rPr>
                <w:rFonts w:cstheme="minorHAnsi"/>
              </w:rPr>
              <w:t>PIU</w:t>
            </w:r>
          </w:p>
        </w:tc>
      </w:tr>
      <w:tr w:rsidR="00AB0D21" w:rsidRPr="00FD436F" w14:paraId="60FD2891" w14:textId="5958ABC6" w:rsidTr="009D5AA1">
        <w:trPr>
          <w:trHeight w:val="107"/>
          <w:jc w:val="center"/>
        </w:trPr>
        <w:tc>
          <w:tcPr>
            <w:tcW w:w="737" w:type="dxa"/>
            <w:tcBorders>
              <w:bottom w:val="single" w:sz="4" w:space="0" w:color="000000"/>
            </w:tcBorders>
          </w:tcPr>
          <w:p w14:paraId="2F05AFC3" w14:textId="5D400DAB" w:rsidR="00AB0D21" w:rsidRPr="00FD436F" w:rsidRDefault="00AB0D21" w:rsidP="009D5AA1">
            <w:pPr>
              <w:pStyle w:val="Tableauparagraphe"/>
            </w:pPr>
            <w:r w:rsidRPr="00FD436F">
              <w:t>B</w:t>
            </w:r>
          </w:p>
        </w:tc>
        <w:tc>
          <w:tcPr>
            <w:tcW w:w="6307" w:type="dxa"/>
            <w:tcBorders>
              <w:bottom w:val="single" w:sz="4" w:space="0" w:color="000000"/>
            </w:tcBorders>
            <w:shd w:val="clear" w:color="auto" w:fill="FFFFFF" w:themeFill="background1"/>
          </w:tcPr>
          <w:p w14:paraId="539404C5" w14:textId="1EC5BDFF" w:rsidR="00AB0D21" w:rsidRPr="00FD436F" w:rsidRDefault="00AB0D21" w:rsidP="00FB27EF">
            <w:pPr>
              <w:pStyle w:val="HeadingMeasure"/>
            </w:pPr>
            <w:r w:rsidRPr="00FD436F">
              <w:t>INCIDENTS AND ACCIDENTS</w:t>
            </w:r>
          </w:p>
          <w:p w14:paraId="17C6AB63" w14:textId="2DEBB318" w:rsidR="00AB0D21" w:rsidRPr="007D782D" w:rsidRDefault="00AB0D21" w:rsidP="007D782D">
            <w:pPr>
              <w:pStyle w:val="Tableauparagraphe"/>
            </w:pPr>
            <w:r w:rsidRPr="007D782D">
              <w:t xml:space="preserve">The </w:t>
            </w:r>
            <w:r w:rsidR="00114482" w:rsidRPr="007D782D">
              <w:t>Recipient</w:t>
            </w:r>
            <w:r w:rsidRPr="007D782D">
              <w:t xml:space="preserve"> will promptly notify the </w:t>
            </w:r>
            <w:r w:rsidR="00114482" w:rsidRPr="007D782D">
              <w:t>World Bank</w:t>
            </w:r>
            <w:r w:rsidRPr="007D782D">
              <w:t xml:space="preserve"> of any incident or accident related to the project that has or is likely to have a significant adverse effect on the environment, affected communities, the public or workers. The </w:t>
            </w:r>
            <w:r w:rsidR="00114482" w:rsidRPr="007D782D">
              <w:t>Recipient</w:t>
            </w:r>
            <w:r w:rsidRPr="007D782D">
              <w:t xml:space="preserve"> will provide sufficient details of the incident or accident, indicating the immediate measures taken or planned to deal with it, as well as any information provided by any contractor and any supervisory entity, if applicable. Subsequently, at the request of the </w:t>
            </w:r>
            <w:r w:rsidR="00114482" w:rsidRPr="007D782D">
              <w:t>World Bank</w:t>
            </w:r>
            <w:r w:rsidRPr="007D782D">
              <w:t xml:space="preserve">, the </w:t>
            </w:r>
            <w:r w:rsidR="00114482" w:rsidRPr="007D782D">
              <w:t>Recipient</w:t>
            </w:r>
            <w:r w:rsidRPr="007D782D">
              <w:t xml:space="preserve"> will prepare a report on the incident or accident and propose any measures to prevent its recurrence.</w:t>
            </w:r>
          </w:p>
          <w:p w14:paraId="785EF552" w14:textId="6CE9B553" w:rsidR="00AB0D21" w:rsidRPr="007D782D" w:rsidRDefault="00AB0D21" w:rsidP="007D782D">
            <w:pPr>
              <w:pStyle w:val="Tableauparagraphe"/>
            </w:pPr>
            <w:r w:rsidRPr="007D782D">
              <w:t>For incidents related to GBV, the survivor should be immediately referred to services (at the same time as the project team and the World Bank: within 48 hours) according to a survivor-centered protocol that will be developed in the GM adapted to the above-mentioned GBV.</w:t>
            </w:r>
          </w:p>
          <w:p w14:paraId="0834907A" w14:textId="5CDE11CF" w:rsidR="00AB0D21" w:rsidRPr="00FD436F" w:rsidRDefault="00AB0D21" w:rsidP="007D782D">
            <w:pPr>
              <w:pStyle w:val="Tableauparagraphe"/>
            </w:pPr>
            <w:r w:rsidRPr="007D782D">
              <w:t xml:space="preserve">As indicated above, the </w:t>
            </w:r>
            <w:r w:rsidR="00430880" w:rsidRPr="007D782D">
              <w:t xml:space="preserve">Recipient </w:t>
            </w:r>
            <w:r w:rsidRPr="007D782D">
              <w:t xml:space="preserve">will provide sufficient details about the incident or accident and indicate the immediate measures taken to address it. Note that for GBV incidents, confidentiality must be ensured for both the survivor and the accused without providing any identifying information (i.e. include the date of the incident, the GBV form, a general description of the survivor such as age/gender, a general description of the accused/perpetrator such as age/gender/location of work, whether </w:t>
            </w:r>
            <w:r w:rsidRPr="007D782D">
              <w:lastRenderedPageBreak/>
              <w:t xml:space="preserve">the incident is related to the project in the survivor's own words, the services the survivor was referred to/accepted, whether the perpetrator has signed a Code of Conduct and the sanctions taken against him/her). A report of the incident should be submitted by the </w:t>
            </w:r>
            <w:r w:rsidR="00430880" w:rsidRPr="007D782D">
              <w:t>Recipient</w:t>
            </w:r>
            <w:r w:rsidRPr="007D782D">
              <w:t xml:space="preserve">, detailing the summary findings and the root cause analysis. A record of incidents is kept at the </w:t>
            </w:r>
            <w:r w:rsidR="00D45DDB">
              <w:t>PIU</w:t>
            </w:r>
            <w:r w:rsidRPr="007D782D">
              <w:t>.</w:t>
            </w:r>
          </w:p>
        </w:tc>
        <w:tc>
          <w:tcPr>
            <w:tcW w:w="3803" w:type="dxa"/>
          </w:tcPr>
          <w:p w14:paraId="2EB20B93" w14:textId="77777777" w:rsidR="00AB0D21" w:rsidRPr="00FD436F" w:rsidRDefault="00AB0D21" w:rsidP="009D5AA1">
            <w:pPr>
              <w:pStyle w:val="Tableauparagraphe"/>
              <w:rPr>
                <w:shd w:val="clear" w:color="auto" w:fill="FFFFFF" w:themeFill="background1"/>
              </w:rPr>
            </w:pPr>
          </w:p>
          <w:p w14:paraId="73521451" w14:textId="21F0E2B2" w:rsidR="00AB0D21" w:rsidRPr="009D5AA1" w:rsidRDefault="00AB0D21" w:rsidP="009D5AA1">
            <w:pPr>
              <w:pStyle w:val="Tableauparagraphe"/>
              <w:rPr>
                <w:i/>
                <w:iCs/>
              </w:rPr>
            </w:pPr>
            <w:r w:rsidRPr="009D5AA1">
              <w:rPr>
                <w:i/>
                <w:iCs/>
              </w:rPr>
              <w:t xml:space="preserve">Notify the </w:t>
            </w:r>
            <w:r w:rsidR="00114482" w:rsidRPr="009D5AA1">
              <w:rPr>
                <w:i/>
                <w:iCs/>
              </w:rPr>
              <w:t>World Bank</w:t>
            </w:r>
            <w:r w:rsidRPr="009D5AA1">
              <w:rPr>
                <w:i/>
                <w:iCs/>
              </w:rPr>
              <w:t xml:space="preserve"> within 48 hours after learning of the incident or accident.  A subsequent detailed report will be provided within a period of time acceptable to the </w:t>
            </w:r>
            <w:r w:rsidR="00114482" w:rsidRPr="009D5AA1">
              <w:rPr>
                <w:i/>
                <w:iCs/>
              </w:rPr>
              <w:t>World Bank</w:t>
            </w:r>
            <w:r w:rsidRPr="009D5AA1">
              <w:rPr>
                <w:i/>
                <w:iCs/>
              </w:rPr>
              <w:t>, as requested.</w:t>
            </w:r>
          </w:p>
          <w:p w14:paraId="4077096F" w14:textId="53B3A58F" w:rsidR="00FB27EF" w:rsidRPr="00FD436F" w:rsidRDefault="00AB0D21" w:rsidP="009D5AA1">
            <w:pPr>
              <w:pStyle w:val="Tableauparagraphe"/>
            </w:pPr>
            <w:r w:rsidRPr="009D5AA1">
              <w:rPr>
                <w:rFonts w:cs="Calibri"/>
                <w:i/>
                <w:iCs/>
              </w:rPr>
              <w:t xml:space="preserve">An incident and accident report would be provided by the </w:t>
            </w:r>
            <w:r w:rsidR="00430880" w:rsidRPr="009D5AA1">
              <w:rPr>
                <w:rFonts w:cs="Calibri"/>
                <w:i/>
                <w:iCs/>
              </w:rPr>
              <w:t xml:space="preserve">Recipient </w:t>
            </w:r>
            <w:r w:rsidRPr="009D5AA1">
              <w:rPr>
                <w:rFonts w:cs="Calibri"/>
                <w:i/>
                <w:iCs/>
              </w:rPr>
              <w:t xml:space="preserve">within a time frame acceptable to the </w:t>
            </w:r>
            <w:r w:rsidR="00430880" w:rsidRPr="009D5AA1">
              <w:rPr>
                <w:rFonts w:cs="Calibri"/>
                <w:i/>
                <w:iCs/>
              </w:rPr>
              <w:t>World Bank</w:t>
            </w:r>
            <w:r w:rsidRPr="009D5AA1">
              <w:rPr>
                <w:rFonts w:cs="Calibri"/>
                <w:i/>
                <w:iCs/>
              </w:rPr>
              <w:t>, as requested.</w:t>
            </w:r>
          </w:p>
        </w:tc>
        <w:tc>
          <w:tcPr>
            <w:tcW w:w="3895" w:type="dxa"/>
            <w:tcBorders>
              <w:bottom w:val="single" w:sz="4" w:space="0" w:color="000000"/>
            </w:tcBorders>
          </w:tcPr>
          <w:p w14:paraId="0DB5F9C2" w14:textId="77777777" w:rsidR="00AB0D21" w:rsidRPr="00D45DDB" w:rsidRDefault="00AB0D21" w:rsidP="009D5AA1">
            <w:pPr>
              <w:pStyle w:val="Tableauparagraphe"/>
            </w:pPr>
          </w:p>
          <w:p w14:paraId="55492853" w14:textId="1F2138CC" w:rsidR="00AB0D21" w:rsidRPr="00D45DDB" w:rsidRDefault="00AB0D21" w:rsidP="009D5AA1">
            <w:pPr>
              <w:pStyle w:val="Tableauparagraphe"/>
            </w:pPr>
            <w:r w:rsidRPr="00D45DDB">
              <w:t xml:space="preserve">MEPC, </w:t>
            </w:r>
            <w:r w:rsidR="00D45DDB">
              <w:t>PIU</w:t>
            </w:r>
            <w:r w:rsidRPr="00D45DDB">
              <w:t>, Contractors, sub-Contractors</w:t>
            </w:r>
          </w:p>
          <w:p w14:paraId="31B1BE9E" w14:textId="1A60102A" w:rsidR="00AB0D21" w:rsidRPr="00FD436F" w:rsidRDefault="00AB0D21" w:rsidP="009D5AA1">
            <w:pPr>
              <w:pStyle w:val="Tableauparagraphe"/>
            </w:pPr>
            <w:r w:rsidRPr="009D5AA1">
              <w:t>Funding for implementation and follow-up should be part of the budgets of the ESMPs (including costs to provide services to GBV survivors /complaints/ grievances).</w:t>
            </w:r>
          </w:p>
        </w:tc>
      </w:tr>
      <w:tr w:rsidR="00AB0D21" w:rsidRPr="00FD436F" w14:paraId="60635AF2" w14:textId="7C575E4D" w:rsidTr="009D5AA1">
        <w:trPr>
          <w:trHeight w:val="20"/>
          <w:jc w:val="center"/>
        </w:trPr>
        <w:tc>
          <w:tcPr>
            <w:tcW w:w="737" w:type="dxa"/>
            <w:tcBorders>
              <w:bottom w:val="single" w:sz="4" w:space="0" w:color="000000"/>
            </w:tcBorders>
          </w:tcPr>
          <w:p w14:paraId="09ECD440" w14:textId="5EA4E52E" w:rsidR="00AB0D21" w:rsidRPr="00FD436F" w:rsidRDefault="00AB0D21" w:rsidP="009D5AA1">
            <w:pPr>
              <w:pStyle w:val="Tableauparagraphe"/>
            </w:pPr>
            <w:r w:rsidRPr="00FD436F">
              <w:t>C</w:t>
            </w:r>
          </w:p>
        </w:tc>
        <w:tc>
          <w:tcPr>
            <w:tcW w:w="6307" w:type="dxa"/>
            <w:tcBorders>
              <w:bottom w:val="single" w:sz="4" w:space="0" w:color="000000"/>
            </w:tcBorders>
          </w:tcPr>
          <w:p w14:paraId="1F462F53" w14:textId="13B8396E" w:rsidR="00AB0D21" w:rsidRPr="00FD436F" w:rsidRDefault="00AB0D21" w:rsidP="00FB27EF">
            <w:pPr>
              <w:pStyle w:val="HeadingMeasure"/>
            </w:pPr>
            <w:r w:rsidRPr="00FD436F">
              <w:t>MONTHLY REPORTS OF CONTRACTORS</w:t>
            </w:r>
          </w:p>
          <w:p w14:paraId="5D975CA9" w14:textId="4F476E8D" w:rsidR="00AB0D21" w:rsidRPr="00FD436F" w:rsidRDefault="00AB0D21" w:rsidP="007D782D">
            <w:pPr>
              <w:pStyle w:val="Tableauparagraphe"/>
            </w:pPr>
            <w:r w:rsidRPr="00FD436F">
              <w:t xml:space="preserve">In the event that contractors and subcontractors are hired for </w:t>
            </w:r>
            <w:r w:rsidR="002F5A88">
              <w:t>Project</w:t>
            </w:r>
            <w:r w:rsidR="002F5A88" w:rsidRPr="00FD436F">
              <w:t xml:space="preserve"> </w:t>
            </w:r>
            <w:r w:rsidRPr="00FD436F">
              <w:t xml:space="preserve">activities, the </w:t>
            </w:r>
            <w:r w:rsidR="00D45DDB">
              <w:t>PIU</w:t>
            </w:r>
            <w:r w:rsidRPr="00FD436F">
              <w:t xml:space="preserve"> will require these cont</w:t>
            </w:r>
            <w:r w:rsidR="0086310B">
              <w:t>r</w:t>
            </w:r>
            <w:r w:rsidRPr="00FD436F">
              <w:t xml:space="preserve">actors/subcontractors to submit monthly monitoring reports to the </w:t>
            </w:r>
            <w:r w:rsidR="00D45DDB">
              <w:t>PIU</w:t>
            </w:r>
            <w:r w:rsidRPr="00FD436F">
              <w:t xml:space="preserve"> regarding the implementation of the</w:t>
            </w:r>
            <w:r w:rsidRPr="00F86870">
              <w:t xml:space="preserve"> Hygiene, Safety, Health, Environment (ESHS) Plan </w:t>
            </w:r>
            <w:r w:rsidRPr="00FD436F">
              <w:t xml:space="preserve">of the contract work. Upon request, the </w:t>
            </w:r>
            <w:r w:rsidR="00114482">
              <w:t>Recipient</w:t>
            </w:r>
            <w:r w:rsidRPr="00FD436F">
              <w:t xml:space="preserve"> will submit these monthly monitoring reports to the </w:t>
            </w:r>
            <w:r w:rsidR="00114482">
              <w:t>World Bank</w:t>
            </w:r>
            <w:r w:rsidRPr="00FD436F">
              <w:t xml:space="preserve">. </w:t>
            </w:r>
          </w:p>
        </w:tc>
        <w:tc>
          <w:tcPr>
            <w:tcW w:w="3803" w:type="dxa"/>
            <w:tcBorders>
              <w:bottom w:val="single" w:sz="4" w:space="0" w:color="000000"/>
            </w:tcBorders>
            <w:shd w:val="clear" w:color="auto" w:fill="FFFFFF" w:themeFill="background1"/>
          </w:tcPr>
          <w:p w14:paraId="12CAAF31" w14:textId="0BD70072" w:rsidR="00AB0D21" w:rsidRPr="00FD436F" w:rsidRDefault="00AB0D21" w:rsidP="00FB27EF">
            <w:pPr>
              <w:pStyle w:val="Tableauparagraphe"/>
            </w:pPr>
            <w:r w:rsidRPr="00FD436F">
              <w:rPr>
                <w:shd w:val="clear" w:color="auto" w:fill="FFFFFF" w:themeFill="background1"/>
              </w:rPr>
              <w:t xml:space="preserve">The contractor's report must be submitted on a monthly basis throughout implementation of the </w:t>
            </w:r>
            <w:r w:rsidR="002F5A88">
              <w:rPr>
                <w:shd w:val="clear" w:color="auto" w:fill="FFFFFF" w:themeFill="background1"/>
              </w:rPr>
              <w:t>Project</w:t>
            </w:r>
            <w:r w:rsidRPr="00FD436F">
              <w:rPr>
                <w:shd w:val="clear" w:color="auto" w:fill="FFFFFF" w:themeFill="background1"/>
              </w:rPr>
              <w:t>.</w:t>
            </w:r>
          </w:p>
        </w:tc>
        <w:tc>
          <w:tcPr>
            <w:tcW w:w="3895" w:type="dxa"/>
            <w:tcBorders>
              <w:bottom w:val="single" w:sz="4" w:space="0" w:color="000000"/>
            </w:tcBorders>
          </w:tcPr>
          <w:p w14:paraId="04AF9E95" w14:textId="0269079F" w:rsidR="00AB0D21" w:rsidRPr="00FD436F" w:rsidRDefault="00AB0D21" w:rsidP="00FB27EF">
            <w:pPr>
              <w:pStyle w:val="Tableauparagraphe"/>
            </w:pPr>
            <w:r w:rsidRPr="00FD436F">
              <w:t>MEPC/</w:t>
            </w:r>
            <w:r w:rsidR="00D45DDB">
              <w:t>PIU</w:t>
            </w:r>
            <w:r w:rsidRPr="00FD436F">
              <w:t>/Contractors</w:t>
            </w:r>
          </w:p>
        </w:tc>
      </w:tr>
      <w:tr w:rsidR="00AB0D21" w:rsidRPr="00FD436F" w14:paraId="574F4D94" w14:textId="5BE2AFCC" w:rsidTr="009D5AA1">
        <w:trPr>
          <w:trHeight w:val="20"/>
          <w:jc w:val="center"/>
        </w:trPr>
        <w:tc>
          <w:tcPr>
            <w:tcW w:w="14742" w:type="dxa"/>
            <w:gridSpan w:val="4"/>
            <w:tcBorders>
              <w:top w:val="single" w:sz="4" w:space="0" w:color="000000"/>
            </w:tcBorders>
            <w:shd w:val="clear" w:color="auto" w:fill="F4B083" w:themeFill="accent2" w:themeFillTint="99"/>
          </w:tcPr>
          <w:p w14:paraId="1B9C5400" w14:textId="5F0E19C5" w:rsidR="00AB0D21" w:rsidRPr="00FD436F" w:rsidRDefault="00AB0D21" w:rsidP="00F83C0B">
            <w:pPr>
              <w:pStyle w:val="ESSHeading"/>
              <w:rPr>
                <w:sz w:val="20"/>
                <w:szCs w:val="20"/>
              </w:rPr>
            </w:pPr>
            <w:r w:rsidRPr="00FD436F">
              <w:t xml:space="preserve">ESS 1: Assessment and Management of Environmental and Social Risks and Impacts </w:t>
            </w:r>
          </w:p>
        </w:tc>
      </w:tr>
      <w:tr w:rsidR="00AB0D21" w:rsidRPr="00FD436F" w14:paraId="53FD2164" w14:textId="00ADB7EC" w:rsidTr="009D5AA1">
        <w:trPr>
          <w:trHeight w:val="20"/>
          <w:jc w:val="center"/>
        </w:trPr>
        <w:tc>
          <w:tcPr>
            <w:tcW w:w="737" w:type="dxa"/>
            <w:tcBorders>
              <w:top w:val="single" w:sz="4" w:space="0" w:color="000000"/>
            </w:tcBorders>
          </w:tcPr>
          <w:p w14:paraId="0D527BFF" w14:textId="77777777" w:rsidR="00AB0D21" w:rsidRPr="00FD436F" w:rsidRDefault="00AB0D21" w:rsidP="009D5AA1">
            <w:pPr>
              <w:pStyle w:val="Tableauparagraphe"/>
            </w:pPr>
            <w:r w:rsidRPr="00FD436F">
              <w:t>1.1</w:t>
            </w:r>
          </w:p>
        </w:tc>
        <w:tc>
          <w:tcPr>
            <w:tcW w:w="6307" w:type="dxa"/>
            <w:tcBorders>
              <w:top w:val="single" w:sz="4" w:space="0" w:color="000000"/>
            </w:tcBorders>
          </w:tcPr>
          <w:p w14:paraId="30A55702" w14:textId="13C263B6" w:rsidR="00AB0D21" w:rsidRPr="00FD436F" w:rsidRDefault="00AB0D21" w:rsidP="00FB27EF">
            <w:pPr>
              <w:pStyle w:val="HeadingMeasure"/>
            </w:pPr>
            <w:r w:rsidRPr="00FD436F">
              <w:t>ORGANIZATIONAL STRUCTURE</w:t>
            </w:r>
          </w:p>
          <w:p w14:paraId="09F2428F" w14:textId="07ED2388" w:rsidR="00AB0D21" w:rsidRPr="007D782D" w:rsidRDefault="00AB0D21" w:rsidP="007D782D">
            <w:pPr>
              <w:pStyle w:val="Tableauparagraphe"/>
              <w:rPr>
                <w:highlight w:val="yellow"/>
              </w:rPr>
            </w:pPr>
            <w:r w:rsidRPr="007D782D">
              <w:t xml:space="preserve">The </w:t>
            </w:r>
            <w:r w:rsidR="00114482" w:rsidRPr="007D782D">
              <w:rPr>
                <w:i/>
                <w:iCs/>
              </w:rPr>
              <w:t>Recipient</w:t>
            </w:r>
            <w:r w:rsidRPr="007D782D">
              <w:t xml:space="preserve"> will establish and maintain an organizational structure with qualified staff and resources to support E&amp;S risk management.  The </w:t>
            </w:r>
            <w:r w:rsidR="00114482" w:rsidRPr="007D782D">
              <w:t>Recipient</w:t>
            </w:r>
            <w:r w:rsidRPr="007D782D">
              <w:t xml:space="preserve"> will recruit a qualified environmental specialist</w:t>
            </w:r>
            <w:r w:rsidR="0089635B" w:rsidRPr="003D219F">
              <w:t xml:space="preserve">, </w:t>
            </w:r>
            <w:r w:rsidRPr="003D219F">
              <w:t>a social safeguard specialist</w:t>
            </w:r>
            <w:r w:rsidR="005669FC" w:rsidRPr="003D219F">
              <w:t>,</w:t>
            </w:r>
            <w:r w:rsidRPr="003D219F">
              <w:t xml:space="preserve"> a social specialist in charge of GBV/SEA/S</w:t>
            </w:r>
            <w:r w:rsidR="0089635B" w:rsidRPr="003D219F">
              <w:t>H</w:t>
            </w:r>
            <w:r w:rsidR="005669FC" w:rsidRPr="003D219F">
              <w:t xml:space="preserve"> and </w:t>
            </w:r>
            <w:r w:rsidR="00DB3339" w:rsidRPr="003D219F">
              <w:t>security specialist</w:t>
            </w:r>
            <w:r w:rsidRPr="003D219F">
              <w:t xml:space="preserve"> </w:t>
            </w:r>
            <w:r w:rsidR="002A76A8" w:rsidRPr="003D219F">
              <w:t>fo</w:t>
            </w:r>
            <w:r w:rsidR="002A76A8" w:rsidRPr="007D782D">
              <w:t xml:space="preserve">r </w:t>
            </w:r>
            <w:r w:rsidRPr="007D782D">
              <w:t xml:space="preserve">the implementation of </w:t>
            </w:r>
            <w:r w:rsidR="002A76A8" w:rsidRPr="007D782D">
              <w:t>E&amp;S instruments</w:t>
            </w:r>
            <w:r w:rsidR="00373F93" w:rsidRPr="007D782D">
              <w:t xml:space="preserve"> and </w:t>
            </w:r>
            <w:r w:rsidRPr="007D782D">
              <w:t>the SEP including the GM and the ESCP.</w:t>
            </w:r>
          </w:p>
        </w:tc>
        <w:tc>
          <w:tcPr>
            <w:tcW w:w="3803" w:type="dxa"/>
            <w:tcBorders>
              <w:top w:val="single" w:sz="4" w:space="0" w:color="000000"/>
            </w:tcBorders>
          </w:tcPr>
          <w:p w14:paraId="109C88C8" w14:textId="77777777" w:rsidR="00D45DDB" w:rsidRPr="00D45DDB" w:rsidRDefault="00D45DDB" w:rsidP="00FB27EF">
            <w:pPr>
              <w:pStyle w:val="Tableauparagraphe"/>
              <w:rPr>
                <w:rFonts w:eastAsia="Times New Roman"/>
                <w:bCs/>
                <w:i/>
              </w:rPr>
            </w:pPr>
          </w:p>
          <w:p w14:paraId="2DF01D26" w14:textId="6EA37A6D" w:rsidR="00AB0D21" w:rsidRPr="00FD436F" w:rsidRDefault="00DD1A54" w:rsidP="00FB27EF">
            <w:pPr>
              <w:pStyle w:val="Tableauparagraphe"/>
              <w:rPr>
                <w:rFonts w:eastAsia="Times New Roman"/>
                <w:bCs/>
                <w:i/>
              </w:rPr>
            </w:pPr>
            <w:r w:rsidRPr="00D45DDB">
              <w:rPr>
                <w:rFonts w:eastAsia="Times New Roman"/>
                <w:bCs/>
                <w:i/>
              </w:rPr>
              <w:t>P</w:t>
            </w:r>
            <w:r w:rsidRPr="009D5AA1">
              <w:rPr>
                <w:i/>
              </w:rPr>
              <w:t>rior to the project effective date</w:t>
            </w:r>
            <w:r w:rsidR="00AB0D21" w:rsidRPr="009D5AA1">
              <w:rPr>
                <w:i/>
              </w:rPr>
              <w:t xml:space="preserve">. The organizational structure, including specialists, must be maintained throughout the implementation of the </w:t>
            </w:r>
            <w:r w:rsidR="00621EC9" w:rsidRPr="009D5AA1">
              <w:rPr>
                <w:i/>
              </w:rPr>
              <w:t>Project</w:t>
            </w:r>
            <w:r w:rsidR="00AB0D21" w:rsidRPr="009D5AA1">
              <w:rPr>
                <w:i/>
              </w:rPr>
              <w:t>.</w:t>
            </w:r>
          </w:p>
        </w:tc>
        <w:tc>
          <w:tcPr>
            <w:tcW w:w="3895" w:type="dxa"/>
            <w:tcBorders>
              <w:top w:val="single" w:sz="4" w:space="0" w:color="000000"/>
            </w:tcBorders>
          </w:tcPr>
          <w:p w14:paraId="65CD46F7" w14:textId="77777777" w:rsidR="00D45DDB" w:rsidRDefault="00D45DDB" w:rsidP="00FB27EF">
            <w:pPr>
              <w:pStyle w:val="Tableauparagraphe"/>
            </w:pPr>
          </w:p>
          <w:p w14:paraId="6F9B134B" w14:textId="2F78D4F3" w:rsidR="00AB0D21" w:rsidRPr="00FD436F" w:rsidRDefault="00AB0D21" w:rsidP="00FB27EF">
            <w:pPr>
              <w:pStyle w:val="Tableauparagraphe"/>
            </w:pPr>
            <w:r w:rsidRPr="00FD436F">
              <w:t xml:space="preserve">MEPC, </w:t>
            </w:r>
            <w:r w:rsidR="00D45DDB">
              <w:t>PIU</w:t>
            </w:r>
          </w:p>
        </w:tc>
      </w:tr>
      <w:tr w:rsidR="00AB0D21" w:rsidRPr="00FD436F" w14:paraId="69D2CFD5" w14:textId="7000E03E" w:rsidTr="009D5AA1">
        <w:trPr>
          <w:trHeight w:val="20"/>
          <w:jc w:val="center"/>
        </w:trPr>
        <w:tc>
          <w:tcPr>
            <w:tcW w:w="737" w:type="dxa"/>
          </w:tcPr>
          <w:p w14:paraId="30F6E72D" w14:textId="23A415BA" w:rsidR="00AB0D21" w:rsidRPr="00FD436F" w:rsidRDefault="00AB0D21" w:rsidP="009D5AA1">
            <w:pPr>
              <w:pStyle w:val="Tableauparagraphe"/>
            </w:pPr>
            <w:r w:rsidRPr="00FD436F">
              <w:t>1.2</w:t>
            </w:r>
          </w:p>
        </w:tc>
        <w:tc>
          <w:tcPr>
            <w:tcW w:w="6307" w:type="dxa"/>
          </w:tcPr>
          <w:p w14:paraId="6C65CBB9" w14:textId="14B29F90" w:rsidR="00AB0D21" w:rsidRPr="00FD436F" w:rsidRDefault="00AB0D21" w:rsidP="00FB27EF">
            <w:pPr>
              <w:pStyle w:val="HeadingMeasure"/>
            </w:pPr>
            <w:r w:rsidRPr="00FD436F">
              <w:t>ENVIRONMENTAL AND SOCIAL</w:t>
            </w:r>
            <w:r w:rsidR="003A4CF7">
              <w:t xml:space="preserve"> ASSESSMENT</w:t>
            </w:r>
          </w:p>
          <w:p w14:paraId="4FAE4965" w14:textId="7F252276" w:rsidR="00281D47" w:rsidRDefault="00246285" w:rsidP="007D782D">
            <w:pPr>
              <w:pStyle w:val="Tableauparagraphe"/>
            </w:pPr>
            <w:r w:rsidRPr="00A114A9">
              <w:t xml:space="preserve">The </w:t>
            </w:r>
            <w:r w:rsidRPr="00A114A9">
              <w:rPr>
                <w:i/>
                <w:iCs/>
              </w:rPr>
              <w:t>Recipient</w:t>
            </w:r>
            <w:r w:rsidRPr="00A114A9">
              <w:t xml:space="preserve"> shall</w:t>
            </w:r>
            <w:r w:rsidRPr="00A114A9">
              <w:rPr>
                <w:i/>
                <w:iCs/>
              </w:rPr>
              <w:t xml:space="preserve"> </w:t>
            </w:r>
            <w:r w:rsidRPr="00A114A9">
              <w:t xml:space="preserve">prepare, disclose and adopt for the Project </w:t>
            </w:r>
            <w:r w:rsidR="00281D47">
              <w:t>an</w:t>
            </w:r>
            <w:r w:rsidRPr="00A114A9">
              <w:t xml:space="preserve"> Environmental and Social Management Framework (ESMF),</w:t>
            </w:r>
            <w:r w:rsidR="00DB7F89">
              <w:t xml:space="preserve"> </w:t>
            </w:r>
            <w:r w:rsidR="00DB7F89" w:rsidRPr="00047759">
              <w:t xml:space="preserve">including a </w:t>
            </w:r>
            <w:r w:rsidR="00DB7F89" w:rsidRPr="001F094E">
              <w:rPr>
                <w:shd w:val="clear" w:color="auto" w:fill="FFFFFF"/>
              </w:rPr>
              <w:t xml:space="preserve">health care waste </w:t>
            </w:r>
            <w:r w:rsidR="00281D47" w:rsidRPr="001F094E">
              <w:rPr>
                <w:shd w:val="clear" w:color="auto" w:fill="FFFFFF"/>
              </w:rPr>
              <w:t>management</w:t>
            </w:r>
            <w:r w:rsidR="00281D47">
              <w:rPr>
                <w:shd w:val="clear" w:color="auto" w:fill="FFFFFF"/>
              </w:rPr>
              <w:t xml:space="preserve"> </w:t>
            </w:r>
            <w:r w:rsidR="00281D47" w:rsidRPr="001F094E">
              <w:rPr>
                <w:shd w:val="clear" w:color="auto" w:fill="FFFFFF"/>
              </w:rPr>
              <w:t>plan</w:t>
            </w:r>
            <w:r w:rsidR="00281D47">
              <w:rPr>
                <w:shd w:val="clear" w:color="auto" w:fill="FFFFFF"/>
              </w:rPr>
              <w:t>,</w:t>
            </w:r>
            <w:r w:rsidRPr="00A114A9">
              <w:t xml:space="preserve"> which </w:t>
            </w:r>
            <w:r w:rsidR="00ED57F7">
              <w:t xml:space="preserve">defines procedures to screen and </w:t>
            </w:r>
            <w:r w:rsidRPr="00A114A9">
              <w:t xml:space="preserve">assess </w:t>
            </w:r>
            <w:r w:rsidR="00281D47">
              <w:t xml:space="preserve">the </w:t>
            </w:r>
            <w:r w:rsidRPr="00A114A9">
              <w:t>environmental and social risks and impacts</w:t>
            </w:r>
            <w:r w:rsidR="00ED57F7">
              <w:t xml:space="preserve">, and define </w:t>
            </w:r>
            <w:r w:rsidRPr="00A114A9">
              <w:t>appropriate mitigation measures.</w:t>
            </w:r>
          </w:p>
          <w:p w14:paraId="0B0F67C4" w14:textId="41E5E770" w:rsidR="00AB0D21" w:rsidRPr="00A114A9" w:rsidRDefault="00246285" w:rsidP="007D782D">
            <w:pPr>
              <w:pStyle w:val="Tableauparagraphe"/>
            </w:pPr>
            <w:r w:rsidRPr="00A114A9">
              <w:lastRenderedPageBreak/>
              <w:t xml:space="preserve">As soon as subproject sites are identified, the </w:t>
            </w:r>
            <w:r w:rsidR="00281D47" w:rsidRPr="009D5AA1">
              <w:rPr>
                <w:i/>
                <w:iCs/>
              </w:rPr>
              <w:t>Recipient</w:t>
            </w:r>
            <w:r w:rsidR="00281D47">
              <w:t xml:space="preserve"> shall </w:t>
            </w:r>
            <w:r w:rsidR="00281D47" w:rsidRPr="00A114A9">
              <w:t xml:space="preserve">prepare and consult upon </w:t>
            </w:r>
            <w:r w:rsidRPr="00A114A9">
              <w:t xml:space="preserve">Environmental and Social Management Plans (ESMPs)/ Environmental and Social Impact Assessments (ESIAs) for each subproject according to their environmental and social risk profile in a manner acceptable to the </w:t>
            </w:r>
            <w:r w:rsidR="00A6644A">
              <w:t>World Bank</w:t>
            </w:r>
            <w:r w:rsidRPr="00A114A9">
              <w:t xml:space="preserve">, submitted for the </w:t>
            </w:r>
            <w:r w:rsidR="00FA6B16">
              <w:t>World Bank</w:t>
            </w:r>
            <w:r w:rsidRPr="00A114A9">
              <w:t>’s review and approval, and thereafter adopted and disclosed prior to launching the respective civil works</w:t>
            </w:r>
            <w:r w:rsidR="006C1E48">
              <w:t xml:space="preserve"> (related to VETL</w:t>
            </w:r>
            <w:r w:rsidR="009A15F8">
              <w:t xml:space="preserve"> and Safe Spaces, etc.)</w:t>
            </w:r>
            <w:r w:rsidRPr="00A114A9">
              <w:t>, and shall be implemented throughout the execution of said works.</w:t>
            </w:r>
          </w:p>
        </w:tc>
        <w:tc>
          <w:tcPr>
            <w:tcW w:w="3803" w:type="dxa"/>
          </w:tcPr>
          <w:p w14:paraId="24DCE2AC" w14:textId="77777777" w:rsidR="00AB0D21" w:rsidRPr="008E561B" w:rsidRDefault="00A01CD6" w:rsidP="00FB27EF">
            <w:pPr>
              <w:pStyle w:val="Tableauparagraphe"/>
            </w:pPr>
            <w:r>
              <w:lastRenderedPageBreak/>
              <w:t xml:space="preserve">ESMF to be prepared </w:t>
            </w:r>
            <w:r w:rsidR="00DD1A54" w:rsidRPr="008E561B">
              <w:t>prior to</w:t>
            </w:r>
            <w:r w:rsidR="0083249B" w:rsidRPr="008E561B">
              <w:t xml:space="preserve"> the end of </w:t>
            </w:r>
            <w:r w:rsidR="00D522A8" w:rsidRPr="008E561B">
              <w:t>project appraisal</w:t>
            </w:r>
          </w:p>
          <w:p w14:paraId="690C8971" w14:textId="32168444" w:rsidR="008E561B" w:rsidRPr="008E561B" w:rsidRDefault="008E561B" w:rsidP="008E561B">
            <w:pPr>
              <w:jc w:val="right"/>
            </w:pPr>
          </w:p>
        </w:tc>
        <w:tc>
          <w:tcPr>
            <w:tcW w:w="3895" w:type="dxa"/>
          </w:tcPr>
          <w:p w14:paraId="21019995" w14:textId="2BEC9BEA" w:rsidR="00AB0D21" w:rsidRPr="00FD436F" w:rsidRDefault="00AB0D21" w:rsidP="00FB27EF">
            <w:pPr>
              <w:pStyle w:val="Tableauparagraphe"/>
            </w:pPr>
            <w:r w:rsidRPr="00FD436F">
              <w:t xml:space="preserve">MEPC, </w:t>
            </w:r>
            <w:r w:rsidR="00D45DDB">
              <w:t>PIU</w:t>
            </w:r>
          </w:p>
        </w:tc>
      </w:tr>
      <w:tr w:rsidR="000B59D7" w:rsidRPr="00FD436F" w14:paraId="05344414" w14:textId="77777777" w:rsidTr="009D5AA1">
        <w:trPr>
          <w:trHeight w:val="20"/>
          <w:jc w:val="center"/>
        </w:trPr>
        <w:tc>
          <w:tcPr>
            <w:tcW w:w="737" w:type="dxa"/>
          </w:tcPr>
          <w:p w14:paraId="00053393" w14:textId="0A74548C" w:rsidR="000B59D7" w:rsidRPr="00A114A9" w:rsidRDefault="000B59D7" w:rsidP="009D5AA1">
            <w:pPr>
              <w:pStyle w:val="Tableauparagraphe"/>
            </w:pPr>
            <w:r w:rsidRPr="00A114A9">
              <w:t>1.2.1</w:t>
            </w:r>
          </w:p>
        </w:tc>
        <w:tc>
          <w:tcPr>
            <w:tcW w:w="6307" w:type="dxa"/>
          </w:tcPr>
          <w:p w14:paraId="2BDC297F" w14:textId="7FBE7264" w:rsidR="000B59D7" w:rsidRPr="00E10FFD" w:rsidRDefault="000B59D7" w:rsidP="00E10FFD">
            <w:pPr>
              <w:pStyle w:val="Tableauparagraphe"/>
            </w:pPr>
            <w:r w:rsidRPr="00E10FFD">
              <w:t xml:space="preserve">The </w:t>
            </w:r>
            <w:r w:rsidRPr="00E10FFD">
              <w:rPr>
                <w:i/>
                <w:iCs/>
              </w:rPr>
              <w:t>Recipient</w:t>
            </w:r>
            <w:r w:rsidRPr="00E10FFD">
              <w:t xml:space="preserve"> shall ensure that measures and actions are taken to avoid and/or to mitigate the risks of exclusion of the targeted marginalized and vulnerable social groups, some of whom may be unable to access and use </w:t>
            </w:r>
            <w:r w:rsidR="00311C2B" w:rsidRPr="00E10FFD">
              <w:t>Project</w:t>
            </w:r>
            <w:r w:rsidRPr="00E10FFD">
              <w:t xml:space="preserve"> facilities and this risk must be mitigated.  These include girl heads of households, </w:t>
            </w:r>
            <w:r w:rsidR="00311C2B" w:rsidRPr="00E10FFD">
              <w:t>girls</w:t>
            </w:r>
            <w:r w:rsidRPr="00E10FFD">
              <w:t xml:space="preserve"> in vulnerable situations (living with disabilities, orphans, associated with armed groups, etc.), </w:t>
            </w:r>
            <w:r w:rsidR="007A7995" w:rsidRPr="00E10FFD">
              <w:t>young people</w:t>
            </w:r>
            <w:r w:rsidRPr="007D782D">
              <w:t xml:space="preserve"> who have dropped out of the school system (boys and girls), unemployed youth, people with disabilities, refugees, internally displaced persons and returnees. It also includes people from ethnic or religious minorities, including minorities living in a community with differe</w:t>
            </w:r>
            <w:r w:rsidRPr="00E10FFD">
              <w:t>nt ethnic and religious majority characteristics and who are exposed to discrimination and stigmatization such as the Mbororo Peuhls.</w:t>
            </w:r>
          </w:p>
          <w:p w14:paraId="6298476C" w14:textId="04BE4D1A" w:rsidR="000B59D7" w:rsidRPr="00E10FFD" w:rsidRDefault="00281D47" w:rsidP="00E10FFD">
            <w:pPr>
              <w:pStyle w:val="Tableauparagraphe"/>
            </w:pPr>
            <w:r>
              <w:t xml:space="preserve">The </w:t>
            </w:r>
            <w:r w:rsidRPr="009D5AA1">
              <w:rPr>
                <w:i/>
                <w:iCs/>
              </w:rPr>
              <w:t>Recipient</w:t>
            </w:r>
            <w:r>
              <w:t xml:space="preserve"> will pay </w:t>
            </w:r>
            <w:r w:rsidR="000B59D7" w:rsidRPr="00E10FFD">
              <w:t xml:space="preserve">special attention to the needs of all vulnerable social groups </w:t>
            </w:r>
            <w:r>
              <w:t xml:space="preserve">and provide them </w:t>
            </w:r>
            <w:r w:rsidR="000B59D7" w:rsidRPr="00E10FFD">
              <w:t>with the possibility to express their concerns, and to have equitable access to the benefits of the project (possibility to enroll their children in classes, participation in parents' committees, employment of teachers and/or professors, distribution of jobs, provision and distribution of supplies, etc.).</w:t>
            </w:r>
          </w:p>
        </w:tc>
        <w:tc>
          <w:tcPr>
            <w:tcW w:w="3803" w:type="dxa"/>
          </w:tcPr>
          <w:p w14:paraId="06F8DCD8" w14:textId="3E96C14D" w:rsidR="000B59D7" w:rsidRPr="007C4D5B" w:rsidRDefault="000B59D7" w:rsidP="000B59D7">
            <w:pPr>
              <w:keepLines/>
              <w:widowControl w:val="0"/>
              <w:rPr>
                <w:rFonts w:eastAsia="Times New Roman" w:cstheme="minorHAnsi"/>
                <w:bCs/>
              </w:rPr>
            </w:pPr>
            <w:r w:rsidRPr="00A114A9">
              <w:t>Throughout the implementation phase of the project</w:t>
            </w:r>
          </w:p>
        </w:tc>
        <w:tc>
          <w:tcPr>
            <w:tcW w:w="3895" w:type="dxa"/>
          </w:tcPr>
          <w:p w14:paraId="143D0D4F" w14:textId="108C8D9C" w:rsidR="000B59D7" w:rsidRPr="007C4D5B" w:rsidRDefault="000B59D7" w:rsidP="000B59D7">
            <w:pPr>
              <w:keepLines/>
              <w:widowControl w:val="0"/>
              <w:rPr>
                <w:rFonts w:cstheme="minorHAnsi"/>
              </w:rPr>
            </w:pPr>
            <w:r w:rsidRPr="00A114A9">
              <w:rPr>
                <w:rFonts w:cstheme="minorHAnsi"/>
                <w:lang w:val="fr-FR"/>
              </w:rPr>
              <w:t>M</w:t>
            </w:r>
            <w:r w:rsidR="00CA0ABF" w:rsidRPr="00A114A9">
              <w:rPr>
                <w:rFonts w:cstheme="minorHAnsi"/>
                <w:lang w:val="fr-FR"/>
              </w:rPr>
              <w:t>EPC</w:t>
            </w:r>
            <w:r w:rsidRPr="00A114A9">
              <w:rPr>
                <w:rFonts w:cstheme="minorHAnsi"/>
                <w:lang w:val="fr-FR"/>
              </w:rPr>
              <w:t>/</w:t>
            </w:r>
            <w:r w:rsidR="00D45DDB">
              <w:rPr>
                <w:rFonts w:cstheme="minorHAnsi"/>
                <w:lang w:val="fr-FR"/>
              </w:rPr>
              <w:t>PIU</w:t>
            </w:r>
          </w:p>
        </w:tc>
      </w:tr>
      <w:tr w:rsidR="00CA493C" w:rsidRPr="00FD436F" w14:paraId="57F2737A" w14:textId="77777777" w:rsidTr="009D5AA1">
        <w:trPr>
          <w:trHeight w:val="20"/>
          <w:jc w:val="center"/>
        </w:trPr>
        <w:tc>
          <w:tcPr>
            <w:tcW w:w="737" w:type="dxa"/>
          </w:tcPr>
          <w:p w14:paraId="67523165" w14:textId="52B1F97D" w:rsidR="00CA493C" w:rsidRPr="00FD436F" w:rsidRDefault="00CA493C" w:rsidP="009D5AA1">
            <w:pPr>
              <w:pStyle w:val="Tableauparagraphe"/>
            </w:pPr>
            <w:r w:rsidRPr="00FD436F">
              <w:t>1.3</w:t>
            </w:r>
          </w:p>
        </w:tc>
        <w:tc>
          <w:tcPr>
            <w:tcW w:w="6307" w:type="dxa"/>
          </w:tcPr>
          <w:p w14:paraId="10BD0442" w14:textId="77777777" w:rsidR="00CA493C" w:rsidRPr="00BB2CBC" w:rsidRDefault="00CA493C" w:rsidP="009918CD">
            <w:pPr>
              <w:pStyle w:val="HeadingMeasure"/>
            </w:pPr>
            <w:r w:rsidRPr="00F46473">
              <w:t>MANAGEMENT TOOLS AND INSTRUMENTS</w:t>
            </w:r>
          </w:p>
          <w:p w14:paraId="12FB1C85" w14:textId="77777777" w:rsidR="00CA493C" w:rsidRPr="00A114A9" w:rsidRDefault="00CA493C" w:rsidP="00CA493C">
            <w:pPr>
              <w:autoSpaceDE w:val="0"/>
              <w:autoSpaceDN w:val="0"/>
              <w:adjustRightInd w:val="0"/>
              <w:rPr>
                <w:rFonts w:cstheme="minorHAnsi"/>
              </w:rPr>
            </w:pPr>
            <w:r w:rsidRPr="00A114A9">
              <w:rPr>
                <w:rFonts w:cstheme="minorHAnsi"/>
              </w:rPr>
              <w:t xml:space="preserve">The </w:t>
            </w:r>
            <w:r w:rsidRPr="00A114A9">
              <w:rPr>
                <w:rFonts w:cstheme="minorHAnsi"/>
                <w:i/>
                <w:iCs/>
              </w:rPr>
              <w:t xml:space="preserve">Recipient </w:t>
            </w:r>
            <w:r w:rsidRPr="00A114A9">
              <w:rPr>
                <w:rFonts w:cstheme="minorHAnsi"/>
              </w:rPr>
              <w:t>shall prepare and implement the following</w:t>
            </w:r>
          </w:p>
          <w:p w14:paraId="4681E133" w14:textId="77777777" w:rsidR="00CA493C" w:rsidRPr="00A114A9" w:rsidRDefault="00CA493C" w:rsidP="00CA493C">
            <w:pPr>
              <w:autoSpaceDE w:val="0"/>
              <w:autoSpaceDN w:val="0"/>
              <w:adjustRightInd w:val="0"/>
              <w:rPr>
                <w:rFonts w:cstheme="minorHAnsi"/>
              </w:rPr>
            </w:pPr>
            <w:r w:rsidRPr="00A114A9">
              <w:rPr>
                <w:rFonts w:cstheme="minorHAnsi"/>
              </w:rPr>
              <w:lastRenderedPageBreak/>
              <w:t>environmental and social risk management tools and instruments:</w:t>
            </w:r>
          </w:p>
          <w:p w14:paraId="196021F2" w14:textId="1D945004" w:rsidR="00CA493C" w:rsidRPr="004B2920" w:rsidRDefault="00CA493C" w:rsidP="004B2920">
            <w:pPr>
              <w:pStyle w:val="Tablelistnumber"/>
            </w:pPr>
            <w:r w:rsidRPr="004B2920">
              <w:t>Environmental and Social Management Framework (ESMF)</w:t>
            </w:r>
            <w:r w:rsidR="00281D47">
              <w:t>, including health care waste management plan</w:t>
            </w:r>
            <w:r w:rsidRPr="004B2920">
              <w:t xml:space="preserve">. In anticipation of an emergency response, a CERC section shall be included in the Environmental and Social Management Framework (ESMF) based on an indicative list of activities related to the likely emergencies that led to CERC’s inclusion in the project; </w:t>
            </w:r>
          </w:p>
          <w:p w14:paraId="1802FD16" w14:textId="2E3B5DBF" w:rsidR="00CA493C" w:rsidRPr="004B2920" w:rsidRDefault="00CA493C" w:rsidP="004B2920">
            <w:pPr>
              <w:pStyle w:val="Tablelistnumber"/>
            </w:pPr>
            <w:r w:rsidRPr="004B2920">
              <w:t>Standalone Labor Management Procedures (LMP)</w:t>
            </w:r>
            <w:r w:rsidR="00197972" w:rsidRPr="004B2920">
              <w:t>;</w:t>
            </w:r>
          </w:p>
          <w:p w14:paraId="45B3E300" w14:textId="2015433E" w:rsidR="00CA493C" w:rsidRPr="004B2920" w:rsidRDefault="00A461CC" w:rsidP="004B2920">
            <w:pPr>
              <w:pStyle w:val="Tablelistnumber"/>
            </w:pPr>
            <w:r>
              <w:t xml:space="preserve">Standalone </w:t>
            </w:r>
            <w:r w:rsidR="00CA493C" w:rsidRPr="004B2920">
              <w:t>Stakeholder Engagement Plan</w:t>
            </w:r>
            <w:r>
              <w:t xml:space="preserve"> (SEP)</w:t>
            </w:r>
            <w:r w:rsidR="00CA493C" w:rsidRPr="004B2920">
              <w:t>;</w:t>
            </w:r>
          </w:p>
          <w:p w14:paraId="21183EB5" w14:textId="494B7345" w:rsidR="00CA493C" w:rsidRPr="004B2920" w:rsidRDefault="00CA493C" w:rsidP="004B2920">
            <w:pPr>
              <w:pStyle w:val="Tablelistnumber"/>
            </w:pPr>
            <w:r w:rsidRPr="004B2920">
              <w:t>Standalone SEA/SH Assessment</w:t>
            </w:r>
            <w:r w:rsidR="00281D47">
              <w:t>, Prevention and response Action</w:t>
            </w:r>
            <w:r w:rsidRPr="004B2920">
              <w:t xml:space="preserve"> Plan, including guidance on Codes of Conduct for project staff and for contractors, and communications and awareness-raising with staff, contractors and affected communities;</w:t>
            </w:r>
          </w:p>
          <w:p w14:paraId="3A2A7913" w14:textId="71C9267A" w:rsidR="00CA493C" w:rsidRPr="004B2920" w:rsidRDefault="00CA493C" w:rsidP="004B2920">
            <w:pPr>
              <w:pStyle w:val="Tablelistnumber"/>
            </w:pPr>
            <w:r w:rsidRPr="004B2920">
              <w:t xml:space="preserve">Standalone Security </w:t>
            </w:r>
            <w:r w:rsidR="0076640D">
              <w:t xml:space="preserve">Risks </w:t>
            </w:r>
            <w:r w:rsidRPr="004B2920">
              <w:t xml:space="preserve">Assessment and </w:t>
            </w:r>
            <w:r w:rsidR="0076640D">
              <w:t xml:space="preserve">Security </w:t>
            </w:r>
            <w:r w:rsidRPr="004B2920">
              <w:t>Management Plan</w:t>
            </w:r>
            <w:r w:rsidR="0076640D">
              <w:t xml:space="preserve"> (SRA/SMP)</w:t>
            </w:r>
            <w:r w:rsidRPr="004B2920">
              <w:t>;</w:t>
            </w:r>
          </w:p>
          <w:p w14:paraId="573DD85D" w14:textId="175FEE3E" w:rsidR="00CA493C" w:rsidRPr="00F46473" w:rsidRDefault="00D45DDB" w:rsidP="004B2920">
            <w:pPr>
              <w:pStyle w:val="Tablelistnumber"/>
              <w:rPr>
                <w:rFonts w:cstheme="minorHAnsi"/>
                <w:b/>
                <w:color w:val="5B9BD5" w:themeColor="accent5"/>
              </w:rPr>
            </w:pPr>
            <w:r>
              <w:t xml:space="preserve">Standalone </w:t>
            </w:r>
            <w:r w:rsidR="00CA493C" w:rsidRPr="004B2920">
              <w:t>Indigenous Peoples Planning Framework (IPPF).</w:t>
            </w:r>
          </w:p>
        </w:tc>
        <w:tc>
          <w:tcPr>
            <w:tcW w:w="3803" w:type="dxa"/>
          </w:tcPr>
          <w:p w14:paraId="73CBE255" w14:textId="193EED37" w:rsidR="00F4233C" w:rsidRPr="004B2920" w:rsidRDefault="00CA493C" w:rsidP="009D5AA1">
            <w:pPr>
              <w:pStyle w:val="Tablelistnumber"/>
              <w:numPr>
                <w:ilvl w:val="0"/>
                <w:numId w:val="50"/>
              </w:numPr>
              <w:ind w:left="397" w:hanging="170"/>
            </w:pPr>
            <w:r w:rsidRPr="004B2920">
              <w:lastRenderedPageBreak/>
              <w:t xml:space="preserve">ESMF </w:t>
            </w:r>
            <w:r w:rsidR="00BB2CBC" w:rsidRPr="004B2920">
              <w:t>shall be</w:t>
            </w:r>
            <w:r w:rsidRPr="004B2920">
              <w:t xml:space="preserve"> prepared, disclosed, consulted upon, approved, </w:t>
            </w:r>
            <w:r w:rsidR="00281D47">
              <w:t xml:space="preserve">and </w:t>
            </w:r>
            <w:r w:rsidRPr="004B2920">
              <w:lastRenderedPageBreak/>
              <w:t xml:space="preserve">adopted </w:t>
            </w:r>
            <w:r w:rsidR="00AE0ADA" w:rsidRPr="004B2920">
              <w:t>Prio</w:t>
            </w:r>
            <w:r w:rsidR="00F61384" w:rsidRPr="004B2920">
              <w:t>r to the end of Appraisal</w:t>
            </w:r>
            <w:r w:rsidR="00281D47">
              <w:t>, including a h</w:t>
            </w:r>
            <w:r w:rsidR="000B0D99" w:rsidRPr="004B2920">
              <w:t>ealth care waste management plan</w:t>
            </w:r>
          </w:p>
          <w:p w14:paraId="098FD88A" w14:textId="1E1F0CDB" w:rsidR="00CA493C" w:rsidRPr="004B2920" w:rsidRDefault="00CA493C" w:rsidP="004B2920">
            <w:pPr>
              <w:pStyle w:val="Tablelistnumber"/>
            </w:pPr>
            <w:r w:rsidRPr="004B2920">
              <w:t xml:space="preserve">LMP </w:t>
            </w:r>
            <w:r w:rsidR="00364B2D" w:rsidRPr="004B2920">
              <w:t>shall be</w:t>
            </w:r>
            <w:r w:rsidRPr="004B2920">
              <w:t xml:space="preserve"> prepared, disclosed, consulted upon and adopted </w:t>
            </w:r>
            <w:r w:rsidR="009D0ACE" w:rsidRPr="004B2920">
              <w:t>prior to the project effective</w:t>
            </w:r>
            <w:r w:rsidR="00A461CC">
              <w:t xml:space="preserve">ness </w:t>
            </w:r>
            <w:r w:rsidR="009D0ACE" w:rsidRPr="004B2920">
              <w:t>date</w:t>
            </w:r>
          </w:p>
          <w:p w14:paraId="6E72D975" w14:textId="283CF80A" w:rsidR="00CA493C" w:rsidRPr="004B2920" w:rsidRDefault="00CA493C" w:rsidP="004B2920">
            <w:pPr>
              <w:pStyle w:val="Tablelistnumber"/>
            </w:pPr>
            <w:r w:rsidRPr="004B2920">
              <w:t xml:space="preserve">SEP </w:t>
            </w:r>
            <w:r w:rsidR="00673B49" w:rsidRPr="004B2920">
              <w:t>shall be</w:t>
            </w:r>
            <w:r w:rsidRPr="004B2920">
              <w:t xml:space="preserve"> prepared, disclosed, consulted upon, approved, and adopted prior to project appraisal.</w:t>
            </w:r>
          </w:p>
          <w:p w14:paraId="6380C093" w14:textId="41DCF3D6" w:rsidR="00CA493C" w:rsidRPr="004B2920" w:rsidRDefault="00CA493C" w:rsidP="004B2920">
            <w:pPr>
              <w:pStyle w:val="Tablelistnumber"/>
            </w:pPr>
            <w:r w:rsidRPr="004B2920">
              <w:t>SEA/SH assessment and action plan</w:t>
            </w:r>
            <w:r w:rsidR="00C259A4" w:rsidRPr="004B2920">
              <w:t xml:space="preserve"> </w:t>
            </w:r>
            <w:r w:rsidR="001F3F63" w:rsidRPr="004B2920">
              <w:t>shall be</w:t>
            </w:r>
            <w:r w:rsidRPr="004B2920">
              <w:t xml:space="preserve"> prepared, disclosed, consulted upon, approved, adopted prior to the start of the project appraisal.</w:t>
            </w:r>
          </w:p>
          <w:p w14:paraId="5D68BB3D" w14:textId="02BC4988" w:rsidR="00CA493C" w:rsidRPr="004B2920" w:rsidRDefault="00CA493C" w:rsidP="004B2920">
            <w:pPr>
              <w:pStyle w:val="Tablelistnumber"/>
            </w:pPr>
            <w:r w:rsidRPr="004B2920">
              <w:t>Security Assessment and Management Plan</w:t>
            </w:r>
            <w:r w:rsidR="00C259A4" w:rsidRPr="004B2920">
              <w:t xml:space="preserve"> </w:t>
            </w:r>
            <w:r w:rsidR="001F3F63" w:rsidRPr="004B2920">
              <w:t>shall be</w:t>
            </w:r>
            <w:r w:rsidRPr="004B2920">
              <w:t xml:space="preserve"> </w:t>
            </w:r>
            <w:r w:rsidR="00955926" w:rsidRPr="004B2920">
              <w:t>completed</w:t>
            </w:r>
            <w:r w:rsidRPr="004B2920">
              <w:t xml:space="preserve">, disclosed, consulted upon, approved, adopted </w:t>
            </w:r>
            <w:r w:rsidR="009B1FE7" w:rsidRPr="004B2920">
              <w:t>prior to the project effective</w:t>
            </w:r>
            <w:r w:rsidR="00D9109C">
              <w:t>ness</w:t>
            </w:r>
            <w:r w:rsidR="009B1FE7" w:rsidRPr="004B2920">
              <w:t xml:space="preserve"> date</w:t>
            </w:r>
            <w:r w:rsidRPr="004B2920">
              <w:t>.</w:t>
            </w:r>
          </w:p>
          <w:p w14:paraId="7AA25E78" w14:textId="1E59490C" w:rsidR="00CA493C" w:rsidRPr="00E10FFD" w:rsidRDefault="00CA493C" w:rsidP="004B2920">
            <w:pPr>
              <w:pStyle w:val="Tablelistnumber"/>
              <w:rPr>
                <w:rFonts w:cstheme="minorHAnsi"/>
                <w:i/>
                <w:shd w:val="clear" w:color="auto" w:fill="FFFFFF" w:themeFill="background1"/>
              </w:rPr>
            </w:pPr>
            <w:r w:rsidRPr="004B2920">
              <w:t xml:space="preserve">IPPF </w:t>
            </w:r>
            <w:r w:rsidR="00582ACF" w:rsidRPr="004B2920">
              <w:t>shall be</w:t>
            </w:r>
            <w:r w:rsidRPr="004B2920">
              <w:t xml:space="preserve"> prepared, disclosed, consulted upon, approved, adopted </w:t>
            </w:r>
            <w:r w:rsidR="006522CD" w:rsidRPr="004B2920">
              <w:t>prior to the project effective</w:t>
            </w:r>
            <w:r w:rsidR="00D9109C">
              <w:t>ness</w:t>
            </w:r>
            <w:r w:rsidR="006522CD" w:rsidRPr="004B2920">
              <w:t xml:space="preserve"> date</w:t>
            </w:r>
          </w:p>
        </w:tc>
        <w:tc>
          <w:tcPr>
            <w:tcW w:w="3895" w:type="dxa"/>
          </w:tcPr>
          <w:p w14:paraId="420F1702" w14:textId="4604603D" w:rsidR="00CA493C" w:rsidRPr="00ED4153" w:rsidRDefault="00CA493C" w:rsidP="00CA493C">
            <w:pPr>
              <w:keepLines/>
              <w:widowControl w:val="0"/>
              <w:rPr>
                <w:rFonts w:cstheme="minorHAnsi"/>
              </w:rPr>
            </w:pPr>
            <w:r w:rsidRPr="00865798">
              <w:rPr>
                <w:rFonts w:cstheme="minorHAnsi"/>
              </w:rPr>
              <w:lastRenderedPageBreak/>
              <w:t xml:space="preserve">MEPC, </w:t>
            </w:r>
            <w:r w:rsidR="00D45DDB">
              <w:rPr>
                <w:rFonts w:cstheme="minorHAnsi"/>
              </w:rPr>
              <w:t>PIU</w:t>
            </w:r>
          </w:p>
        </w:tc>
      </w:tr>
      <w:tr w:rsidR="00D05580" w:rsidRPr="00FD436F" w14:paraId="4E6CA393" w14:textId="77777777" w:rsidTr="009D5AA1">
        <w:trPr>
          <w:trHeight w:val="20"/>
          <w:jc w:val="center"/>
        </w:trPr>
        <w:tc>
          <w:tcPr>
            <w:tcW w:w="737" w:type="dxa"/>
          </w:tcPr>
          <w:p w14:paraId="1EA199E7" w14:textId="4A00BA77" w:rsidR="00D05580" w:rsidRPr="00FD436F" w:rsidRDefault="00865798" w:rsidP="00D45DDB">
            <w:pPr>
              <w:pStyle w:val="Tableauparagraphe"/>
            </w:pPr>
            <w:r>
              <w:t>1.3.1</w:t>
            </w:r>
          </w:p>
        </w:tc>
        <w:tc>
          <w:tcPr>
            <w:tcW w:w="6307" w:type="dxa"/>
          </w:tcPr>
          <w:p w14:paraId="1D9905C5" w14:textId="73C9010D" w:rsidR="00D05580" w:rsidRPr="00FB27EF" w:rsidRDefault="00D05580" w:rsidP="00FB27EF">
            <w:pPr>
              <w:pStyle w:val="Tableauparagraphe"/>
            </w:pPr>
            <w:r w:rsidRPr="00FB27EF">
              <w:t xml:space="preserve">The </w:t>
            </w:r>
            <w:r w:rsidRPr="00FB27EF">
              <w:rPr>
                <w:i/>
                <w:iCs/>
              </w:rPr>
              <w:t xml:space="preserve">Recipient </w:t>
            </w:r>
            <w:r w:rsidRPr="00FB27EF">
              <w:t xml:space="preserve">shall </w:t>
            </w:r>
            <w:r w:rsidR="00E16157" w:rsidRPr="00FB27EF">
              <w:t>devel</w:t>
            </w:r>
            <w:r w:rsidR="00A0237B" w:rsidRPr="00FB27EF">
              <w:t>op</w:t>
            </w:r>
            <w:r w:rsidRPr="00FB27EF">
              <w:t xml:space="preserve"> </w:t>
            </w:r>
            <w:r w:rsidR="00D45DDB">
              <w:t xml:space="preserve">a </w:t>
            </w:r>
            <w:r w:rsidRPr="00FB27EF">
              <w:t xml:space="preserve">Project Operations Manual and ensure it contains a </w:t>
            </w:r>
            <w:r w:rsidR="00A0237B" w:rsidRPr="00FB27EF">
              <w:t xml:space="preserve">specific </w:t>
            </w:r>
            <w:r w:rsidRPr="00FB27EF">
              <w:t>section on “Environmental and Social Measures”, with detailed job descriptions for:</w:t>
            </w:r>
          </w:p>
          <w:p w14:paraId="127F0A0C" w14:textId="47AB007D" w:rsidR="00D05580" w:rsidRPr="00FB27EF" w:rsidRDefault="00D05580" w:rsidP="00FB27EF">
            <w:pPr>
              <w:pStyle w:val="TableauPuce1"/>
            </w:pPr>
            <w:r w:rsidRPr="00FB27EF">
              <w:t xml:space="preserve">The Procurement Specialist in the preparation of </w:t>
            </w:r>
            <w:r w:rsidR="0073204D" w:rsidRPr="00FB27EF">
              <w:t>(</w:t>
            </w:r>
            <w:r w:rsidRPr="00FB27EF">
              <w:t>TORs; tender documents and contracts</w:t>
            </w:r>
            <w:r w:rsidR="0073204D" w:rsidRPr="00FB27EF">
              <w:t>) which must include environmental and social clauses</w:t>
            </w:r>
            <w:r w:rsidRPr="00FB27EF">
              <w:t>;</w:t>
            </w:r>
          </w:p>
          <w:p w14:paraId="2EB119AB" w14:textId="2B82F7D1" w:rsidR="00D05580" w:rsidRPr="00FB27EF" w:rsidRDefault="00D05580" w:rsidP="00FB27EF">
            <w:pPr>
              <w:pStyle w:val="TableauPuce1"/>
            </w:pPr>
            <w:r w:rsidRPr="00FB27EF">
              <w:t>The Environmental and Social Safeguard Specialist</w:t>
            </w:r>
            <w:r w:rsidR="009E1355" w:rsidRPr="00FB27EF">
              <w:t>s</w:t>
            </w:r>
            <w:r w:rsidRPr="00FB27EF">
              <w:t xml:space="preserve"> in the preparation of the sections on environmental and social </w:t>
            </w:r>
            <w:r w:rsidRPr="00FB27EF">
              <w:lastRenderedPageBreak/>
              <w:t xml:space="preserve">safeguards to be incorporated into the ToRs, tender documents and work </w:t>
            </w:r>
            <w:r w:rsidR="00F2717F" w:rsidRPr="00FB27EF">
              <w:t>contracts;</w:t>
            </w:r>
          </w:p>
          <w:p w14:paraId="25F5EEAE" w14:textId="30ECDE60" w:rsidR="00D05580" w:rsidRPr="00FB27EF" w:rsidRDefault="00D05580" w:rsidP="00FB27EF">
            <w:pPr>
              <w:pStyle w:val="TableauPuce1"/>
            </w:pPr>
            <w:r w:rsidRPr="00FB27EF">
              <w:t xml:space="preserve">Minimum </w:t>
            </w:r>
            <w:r w:rsidR="00D45DDB">
              <w:t>ESHS</w:t>
            </w:r>
            <w:r w:rsidRPr="00FB27EF">
              <w:t xml:space="preserve"> requirements to be incorporated into the ToRs and tender documents</w:t>
            </w:r>
            <w:r w:rsidR="003C0FFF" w:rsidRPr="00FB27EF">
              <w:t xml:space="preserve"> </w:t>
            </w:r>
            <w:r w:rsidRPr="00FB27EF">
              <w:t>(including Codes of Conduct, coordination, reports and</w:t>
            </w:r>
            <w:r w:rsidR="003C0FFF" w:rsidRPr="00FB27EF">
              <w:t xml:space="preserve"> </w:t>
            </w:r>
            <w:r w:rsidRPr="00FB27EF">
              <w:t>surveillance and grievance mechanisms);</w:t>
            </w:r>
          </w:p>
          <w:p w14:paraId="3899E665" w14:textId="6453B828" w:rsidR="00D05580" w:rsidRPr="00FB27EF" w:rsidRDefault="00D05580" w:rsidP="00FB27EF">
            <w:pPr>
              <w:pStyle w:val="TableauPuce1"/>
            </w:pPr>
            <w:r w:rsidRPr="00FB27EF">
              <w:t>Environmental and social indicators to be included in the monitoring instrument.</w:t>
            </w:r>
          </w:p>
        </w:tc>
        <w:tc>
          <w:tcPr>
            <w:tcW w:w="3803" w:type="dxa"/>
          </w:tcPr>
          <w:p w14:paraId="2E1AF352" w14:textId="47B64FB4" w:rsidR="00D05580" w:rsidRPr="004B2920" w:rsidRDefault="00D05580" w:rsidP="004B2920">
            <w:pPr>
              <w:pStyle w:val="Tablelistnumber"/>
              <w:numPr>
                <w:ilvl w:val="0"/>
                <w:numId w:val="51"/>
              </w:numPr>
              <w:ind w:left="397" w:hanging="170"/>
            </w:pPr>
            <w:r w:rsidRPr="004B2920">
              <w:lastRenderedPageBreak/>
              <w:t>Procurement specialist</w:t>
            </w:r>
            <w:r w:rsidR="00130AA3" w:rsidRPr="004B2920">
              <w:t>,</w:t>
            </w:r>
            <w:r w:rsidRPr="004B2920">
              <w:t xml:space="preserve"> Environmental specialist</w:t>
            </w:r>
            <w:r w:rsidR="00130AA3" w:rsidRPr="004B2920">
              <w:t>, Social Specialist</w:t>
            </w:r>
            <w:r w:rsidR="004C0EB7" w:rsidRPr="004B2920">
              <w:t>, GBV/SEA/SH Specialist,</w:t>
            </w:r>
            <w:r w:rsidR="003C0FFF" w:rsidRPr="004B2920">
              <w:t xml:space="preserve"> security specialist,</w:t>
            </w:r>
            <w:r w:rsidR="00D41C00" w:rsidRPr="004B2920">
              <w:t xml:space="preserve"> to be recruited</w:t>
            </w:r>
            <w:r w:rsidR="004C0EB7" w:rsidRPr="004B2920">
              <w:t xml:space="preserve"> </w:t>
            </w:r>
            <w:r w:rsidR="00D41C00" w:rsidRPr="004B2920">
              <w:t>prior to the project effective</w:t>
            </w:r>
            <w:r w:rsidR="00B01649">
              <w:t>ness</w:t>
            </w:r>
            <w:r w:rsidR="00BA0BFB" w:rsidRPr="004B2920">
              <w:t xml:space="preserve"> date</w:t>
            </w:r>
          </w:p>
          <w:p w14:paraId="133C5D58" w14:textId="0F290A39" w:rsidR="00D05580" w:rsidRPr="004B2920" w:rsidRDefault="00D05580" w:rsidP="004B2920">
            <w:pPr>
              <w:pStyle w:val="Tablelistnumber"/>
              <w:numPr>
                <w:ilvl w:val="0"/>
                <w:numId w:val="51"/>
              </w:numPr>
              <w:ind w:left="397" w:hanging="170"/>
            </w:pPr>
            <w:r w:rsidRPr="004B2920">
              <w:t>The S</w:t>
            </w:r>
            <w:r w:rsidR="00E81AB0" w:rsidRPr="004B2920">
              <w:t>ecurity</w:t>
            </w:r>
            <w:r w:rsidRPr="004B2920">
              <w:t xml:space="preserve"> Specialist shall be recruited</w:t>
            </w:r>
            <w:r w:rsidR="00695256" w:rsidRPr="004B2920">
              <w:t xml:space="preserve"> or provided by Ministry </w:t>
            </w:r>
            <w:r w:rsidR="00695256" w:rsidRPr="004B2920">
              <w:lastRenderedPageBreak/>
              <w:t xml:space="preserve">in charge of </w:t>
            </w:r>
            <w:r w:rsidR="00F85CF7" w:rsidRPr="004B2920">
              <w:t>security</w:t>
            </w:r>
            <w:r w:rsidRPr="004B2920">
              <w:t xml:space="preserve"> </w:t>
            </w:r>
            <w:r w:rsidR="00F85CF7" w:rsidRPr="004B2920">
              <w:t>prior to the project effective</w:t>
            </w:r>
            <w:r w:rsidR="00B01649">
              <w:t>ness</w:t>
            </w:r>
            <w:r w:rsidR="00F85CF7" w:rsidRPr="004B2920">
              <w:t xml:space="preserve"> date</w:t>
            </w:r>
          </w:p>
          <w:p w14:paraId="0328825E" w14:textId="57CAA98D" w:rsidR="00D05580" w:rsidRPr="00AB00CF" w:rsidRDefault="00D05580" w:rsidP="004B2920">
            <w:pPr>
              <w:pStyle w:val="Tablelistnumber"/>
              <w:numPr>
                <w:ilvl w:val="0"/>
                <w:numId w:val="51"/>
              </w:numPr>
              <w:ind w:left="397" w:hanging="170"/>
            </w:pPr>
            <w:r w:rsidRPr="004B2920">
              <w:t>The</w:t>
            </w:r>
            <w:r w:rsidR="00485B8E" w:rsidRPr="004B2920">
              <w:t xml:space="preserve"> specific section on “Environmental and Social Measures” in</w:t>
            </w:r>
            <w:r w:rsidRPr="004B2920">
              <w:t xml:space="preserve"> Project Operations Manual shall be revised shall be adopted </w:t>
            </w:r>
            <w:r w:rsidR="00F90E3D" w:rsidRPr="004B2920">
              <w:t>prior to the project effective</w:t>
            </w:r>
            <w:r w:rsidR="00B01649">
              <w:t>ness</w:t>
            </w:r>
            <w:r w:rsidR="00F90E3D" w:rsidRPr="004B2920">
              <w:t xml:space="preserve"> date</w:t>
            </w:r>
          </w:p>
        </w:tc>
        <w:tc>
          <w:tcPr>
            <w:tcW w:w="3895" w:type="dxa"/>
          </w:tcPr>
          <w:p w14:paraId="441E032D" w14:textId="0A1BD707" w:rsidR="00D05580" w:rsidRPr="00D27D82" w:rsidRDefault="00865798" w:rsidP="00D05580">
            <w:pPr>
              <w:keepLines/>
              <w:widowControl w:val="0"/>
              <w:rPr>
                <w:rFonts w:cstheme="minorHAnsi"/>
              </w:rPr>
            </w:pPr>
            <w:r w:rsidRPr="00865798">
              <w:rPr>
                <w:rFonts w:cstheme="minorHAnsi"/>
              </w:rPr>
              <w:lastRenderedPageBreak/>
              <w:t xml:space="preserve">MEPC, </w:t>
            </w:r>
            <w:r w:rsidR="00D45DDB">
              <w:rPr>
                <w:rFonts w:cstheme="minorHAnsi"/>
              </w:rPr>
              <w:t>PIU</w:t>
            </w:r>
          </w:p>
        </w:tc>
      </w:tr>
      <w:tr w:rsidR="00083076" w:rsidRPr="00FD436F" w14:paraId="1D97255C" w14:textId="77777777" w:rsidTr="009D5AA1">
        <w:trPr>
          <w:trHeight w:val="20"/>
          <w:jc w:val="center"/>
        </w:trPr>
        <w:tc>
          <w:tcPr>
            <w:tcW w:w="737" w:type="dxa"/>
          </w:tcPr>
          <w:p w14:paraId="2839283A" w14:textId="22FDDA7C" w:rsidR="00083076" w:rsidRPr="00A114A9" w:rsidRDefault="00083076" w:rsidP="00FB27EF">
            <w:pPr>
              <w:pStyle w:val="Tableauparagraphe"/>
            </w:pPr>
            <w:r w:rsidRPr="00A114A9">
              <w:t>1.3.2</w:t>
            </w:r>
          </w:p>
        </w:tc>
        <w:tc>
          <w:tcPr>
            <w:tcW w:w="6307" w:type="dxa"/>
          </w:tcPr>
          <w:p w14:paraId="33C90845" w14:textId="4D6BDB6C" w:rsidR="00083076" w:rsidRPr="009918CD" w:rsidRDefault="00083076" w:rsidP="009918CD">
            <w:pPr>
              <w:pStyle w:val="Tableauparagraphe"/>
            </w:pPr>
            <w:r w:rsidRPr="009918CD">
              <w:t xml:space="preserve">The </w:t>
            </w:r>
            <w:r w:rsidRPr="009918CD">
              <w:rPr>
                <w:i/>
                <w:iCs/>
              </w:rPr>
              <w:t>Recipient</w:t>
            </w:r>
            <w:r w:rsidRPr="009918CD">
              <w:t xml:space="preserve"> shall design a balanced scorecard to monitor environmental and social performance of contractors and subcontractors. The balanced scorecard shall be included into the tenders and the contracts</w:t>
            </w:r>
          </w:p>
        </w:tc>
        <w:tc>
          <w:tcPr>
            <w:tcW w:w="3803" w:type="dxa"/>
          </w:tcPr>
          <w:p w14:paraId="424F18AE" w14:textId="3DCD99A6" w:rsidR="00083076" w:rsidRPr="008556AD" w:rsidRDefault="00083076" w:rsidP="009918CD">
            <w:pPr>
              <w:pStyle w:val="Tableauparagraphe"/>
            </w:pPr>
            <w:r w:rsidRPr="00A114A9">
              <w:t>Prior to concluding contracts with contractors and implemented throughout the Project implementation period.</w:t>
            </w:r>
          </w:p>
        </w:tc>
        <w:tc>
          <w:tcPr>
            <w:tcW w:w="3895" w:type="dxa"/>
          </w:tcPr>
          <w:p w14:paraId="6F72AE57" w14:textId="6914EC53" w:rsidR="00083076" w:rsidRPr="00720499" w:rsidRDefault="00083076" w:rsidP="009918CD">
            <w:pPr>
              <w:pStyle w:val="Tableauparagraphe"/>
            </w:pPr>
            <w:r w:rsidRPr="00865798">
              <w:t xml:space="preserve">MEPC, </w:t>
            </w:r>
            <w:r w:rsidR="00D45DDB">
              <w:t>PIU</w:t>
            </w:r>
          </w:p>
        </w:tc>
      </w:tr>
      <w:tr w:rsidR="00ED4153" w:rsidRPr="00FD436F" w14:paraId="3A321075" w14:textId="77777777" w:rsidTr="009D5AA1">
        <w:trPr>
          <w:trHeight w:val="20"/>
          <w:jc w:val="center"/>
        </w:trPr>
        <w:tc>
          <w:tcPr>
            <w:tcW w:w="737" w:type="dxa"/>
          </w:tcPr>
          <w:p w14:paraId="7B2F7867" w14:textId="368C5A56" w:rsidR="00ED4153" w:rsidRPr="00A114A9" w:rsidRDefault="00ED4153" w:rsidP="00FB27EF">
            <w:pPr>
              <w:pStyle w:val="Tableauparagraphe"/>
            </w:pPr>
            <w:r w:rsidRPr="00A114A9">
              <w:t>1.4</w:t>
            </w:r>
          </w:p>
        </w:tc>
        <w:tc>
          <w:tcPr>
            <w:tcW w:w="6307" w:type="dxa"/>
          </w:tcPr>
          <w:p w14:paraId="4CFF969A" w14:textId="2F6E28BC" w:rsidR="00ED4153" w:rsidRPr="00A114A9" w:rsidRDefault="00ED4153" w:rsidP="009918CD">
            <w:pPr>
              <w:pStyle w:val="HeadingMeasure"/>
            </w:pPr>
            <w:r w:rsidRPr="00A114A9">
              <w:t>MANAGEMENT OF CONTRACTORS</w:t>
            </w:r>
          </w:p>
          <w:p w14:paraId="04417DFF" w14:textId="77777777" w:rsidR="00ED4153" w:rsidRPr="00A114A9" w:rsidRDefault="00ED4153" w:rsidP="009918CD">
            <w:pPr>
              <w:autoSpaceDE w:val="0"/>
              <w:autoSpaceDN w:val="0"/>
              <w:adjustRightInd w:val="0"/>
              <w:jc w:val="both"/>
            </w:pPr>
            <w:r w:rsidRPr="00A114A9">
              <w:t xml:space="preserve">The </w:t>
            </w:r>
            <w:r w:rsidRPr="00A114A9">
              <w:rPr>
                <w:i/>
                <w:iCs/>
              </w:rPr>
              <w:t xml:space="preserve">Recipient </w:t>
            </w:r>
            <w:r w:rsidRPr="00A114A9">
              <w:t>shall require the following procedures, applicable to contractors and subcontractors, to be prepared and implemented:</w:t>
            </w:r>
          </w:p>
          <w:p w14:paraId="5F8B5043" w14:textId="19B3BCE5" w:rsidR="00ED4153" w:rsidRPr="00A114A9" w:rsidRDefault="00ED4153" w:rsidP="009918CD">
            <w:pPr>
              <w:pStyle w:val="TableauPuce1"/>
            </w:pPr>
            <w:r w:rsidRPr="00A114A9">
              <w:t>Site-specific Environmental and Social Impact Assessment (ESIA) or Environmental and Social Management Plans (ESMPs) as appropriate for particular activities;</w:t>
            </w:r>
          </w:p>
          <w:p w14:paraId="7E93161E" w14:textId="62BB229D" w:rsidR="00ED4153" w:rsidRPr="00A114A9" w:rsidRDefault="00ED4153" w:rsidP="009918CD">
            <w:pPr>
              <w:pStyle w:val="TableauPuce1"/>
            </w:pPr>
            <w:r w:rsidRPr="00A114A9">
              <w:t xml:space="preserve">Minimum </w:t>
            </w:r>
            <w:r w:rsidR="00D45DDB">
              <w:t>ESHS</w:t>
            </w:r>
            <w:r w:rsidRPr="00A114A9">
              <w:t xml:space="preserve"> requirements to be incorporated into the ToRs and tender documents for work and supervision contracts (including Codes of Conduct, coordination, reports and surveillance and grievance mechanisms);</w:t>
            </w:r>
          </w:p>
          <w:p w14:paraId="6BC47FCC" w14:textId="31F19E05" w:rsidR="00ED4153" w:rsidRPr="00A114A9" w:rsidRDefault="00ED4153" w:rsidP="009918CD">
            <w:pPr>
              <w:pStyle w:val="TableauPuce1"/>
            </w:pPr>
            <w:r w:rsidRPr="00A114A9">
              <w:t>Provisions prohibiting Child labor, forced labor, and SEA/SH and adequate measures to mitigate against risks related to these;</w:t>
            </w:r>
          </w:p>
          <w:p w14:paraId="6C679B89" w14:textId="77777777" w:rsidR="00ED4153" w:rsidRPr="00A114A9" w:rsidRDefault="00ED4153" w:rsidP="009D5AA1">
            <w:pPr>
              <w:pStyle w:val="Tableauparagraphe"/>
            </w:pPr>
            <w:r w:rsidRPr="00A114A9">
              <w:t xml:space="preserve">The </w:t>
            </w:r>
            <w:r w:rsidRPr="00A114A9">
              <w:rPr>
                <w:i/>
                <w:iCs/>
              </w:rPr>
              <w:t xml:space="preserve">Recipient </w:t>
            </w:r>
            <w:r w:rsidRPr="00A114A9">
              <w:t>shall ensure that all contracts awarded require suppliers/vendors and subcontractors to incorporate and comply with all the requirements set forth in the environmental and social tools and instruments referenced above.</w:t>
            </w:r>
          </w:p>
          <w:p w14:paraId="672B02BF" w14:textId="2A6E14AF" w:rsidR="00ED4153" w:rsidRPr="002409D4" w:rsidRDefault="00ED4153" w:rsidP="009D5AA1">
            <w:pPr>
              <w:pStyle w:val="Tableauparagraphe"/>
            </w:pPr>
            <w:r w:rsidRPr="00A114A9">
              <w:rPr>
                <w:rFonts w:eastAsia="Times New Roman"/>
                <w:bCs/>
              </w:rPr>
              <w:lastRenderedPageBreak/>
              <w:t xml:space="preserve">The procurement documents should set out clearly how adequate SEA/SH costs </w:t>
            </w:r>
            <w:r w:rsidRPr="00A114A9">
              <w:t>associated with assessing and mitigating the risks of SEA/SH</w:t>
            </w:r>
            <w:r w:rsidRPr="00A114A9">
              <w:rPr>
                <w:rFonts w:eastAsia="Times New Roman"/>
                <w:bCs/>
              </w:rPr>
              <w:t xml:space="preserve"> shall be paid for in the contract. This could be, for example, by including: (i) line items in bill of quantities for clearly defined SEA/SH mitigation activities (such as assessments, the preparation of relevant plans, training, codes of conduct, operating SEA/SH</w:t>
            </w:r>
            <w:r w:rsidR="0076466B" w:rsidRPr="00A114A9">
              <w:rPr>
                <w:rFonts w:eastAsia="Times New Roman"/>
                <w:bCs/>
              </w:rPr>
              <w:t>,</w:t>
            </w:r>
            <w:r w:rsidRPr="00A114A9">
              <w:rPr>
                <w:rFonts w:eastAsia="Times New Roman"/>
                <w:bCs/>
              </w:rPr>
              <w:t xml:space="preserve"> GM) or (ii) specified provisional sums for activities that cannot be defined in advance (such as for implementation of relevant plan/s, engaging SEA/SH service providers, if necessary).</w:t>
            </w:r>
          </w:p>
        </w:tc>
        <w:tc>
          <w:tcPr>
            <w:tcW w:w="3803" w:type="dxa"/>
          </w:tcPr>
          <w:p w14:paraId="2C328E3F" w14:textId="77777777" w:rsidR="00ED4153" w:rsidRPr="00A114A9" w:rsidRDefault="00ED4153" w:rsidP="009D5AA1">
            <w:pPr>
              <w:pStyle w:val="Tableauparagraphe"/>
            </w:pPr>
          </w:p>
          <w:p w14:paraId="3663D82C" w14:textId="4EBAC130" w:rsidR="00ED4153" w:rsidRPr="009918CD" w:rsidRDefault="00ED4153" w:rsidP="00D45DDB">
            <w:pPr>
              <w:pStyle w:val="Tableauparagraphe"/>
            </w:pPr>
            <w:r w:rsidRPr="009918CD">
              <w:t>Site-specific ESIAs or ESMPs shall be prepared,</w:t>
            </w:r>
            <w:r w:rsidR="002409D4" w:rsidRPr="009918CD">
              <w:t xml:space="preserve"> </w:t>
            </w:r>
            <w:r w:rsidRPr="009918CD">
              <w:t>disclosed, consulted upon, and adopted prior to commencement of work by the contractor, and applied throughout the Project</w:t>
            </w:r>
            <w:r w:rsidR="002409D4" w:rsidRPr="009918CD">
              <w:t xml:space="preserve"> </w:t>
            </w:r>
            <w:r w:rsidRPr="009918CD">
              <w:t>implementation period.</w:t>
            </w:r>
          </w:p>
          <w:p w14:paraId="62F9A233" w14:textId="77777777" w:rsidR="00ED4153" w:rsidRPr="009918CD" w:rsidRDefault="00ED4153" w:rsidP="00D45DDB">
            <w:pPr>
              <w:pStyle w:val="Tableauparagraphe"/>
            </w:pPr>
            <w:r w:rsidRPr="009918CD">
              <w:t>Contractors shall be supervised</w:t>
            </w:r>
          </w:p>
          <w:p w14:paraId="781558FD" w14:textId="1DD0627C" w:rsidR="00ED4153" w:rsidRPr="002409D4" w:rsidRDefault="00ED4153">
            <w:pPr>
              <w:pStyle w:val="Tableauparagraphe"/>
            </w:pPr>
            <w:r w:rsidRPr="009918CD">
              <w:t>throughout the Project implementation period.</w:t>
            </w:r>
          </w:p>
        </w:tc>
        <w:tc>
          <w:tcPr>
            <w:tcW w:w="3895" w:type="dxa"/>
          </w:tcPr>
          <w:p w14:paraId="6603C88F" w14:textId="24BC7705" w:rsidR="00ED4153" w:rsidRPr="00720499" w:rsidRDefault="00ED4153" w:rsidP="00ED4153">
            <w:pPr>
              <w:keepLines/>
              <w:widowControl w:val="0"/>
              <w:rPr>
                <w:rFonts w:cstheme="minorHAnsi"/>
              </w:rPr>
            </w:pPr>
            <w:r w:rsidRPr="00865798">
              <w:rPr>
                <w:rFonts w:cstheme="minorHAnsi"/>
              </w:rPr>
              <w:t xml:space="preserve">MEPC, </w:t>
            </w:r>
            <w:r w:rsidR="00D45DDB">
              <w:rPr>
                <w:rFonts w:cstheme="minorHAnsi"/>
              </w:rPr>
              <w:t>PIU</w:t>
            </w:r>
          </w:p>
        </w:tc>
      </w:tr>
      <w:tr w:rsidR="00E174EA" w:rsidRPr="00FD436F" w14:paraId="1DBFB97D" w14:textId="77777777" w:rsidTr="009D5AA1">
        <w:trPr>
          <w:trHeight w:val="20"/>
          <w:jc w:val="center"/>
        </w:trPr>
        <w:tc>
          <w:tcPr>
            <w:tcW w:w="737" w:type="dxa"/>
          </w:tcPr>
          <w:p w14:paraId="340E5452" w14:textId="56579B34" w:rsidR="00E174EA" w:rsidRPr="00A114A9" w:rsidRDefault="00E174EA" w:rsidP="009D5AA1">
            <w:pPr>
              <w:pStyle w:val="Tableauparagraphe"/>
            </w:pPr>
            <w:r w:rsidRPr="00A114A9">
              <w:t>1.5</w:t>
            </w:r>
          </w:p>
        </w:tc>
        <w:tc>
          <w:tcPr>
            <w:tcW w:w="6307" w:type="dxa"/>
          </w:tcPr>
          <w:p w14:paraId="2AE5EE19" w14:textId="5E3A0138" w:rsidR="00E174EA" w:rsidRPr="009918CD" w:rsidRDefault="00E174EA" w:rsidP="009918CD">
            <w:pPr>
              <w:pStyle w:val="HeadingMeasure"/>
            </w:pPr>
            <w:r w:rsidRPr="009918CD">
              <w:t>PERMITS, APPROVALS AND AUTHORIZATIONS</w:t>
            </w:r>
          </w:p>
          <w:p w14:paraId="66C913A1" w14:textId="60EF5C85" w:rsidR="00E174EA" w:rsidRPr="009918CD" w:rsidRDefault="00E174EA" w:rsidP="009918CD">
            <w:pPr>
              <w:pStyle w:val="Tableauparagraphe"/>
            </w:pPr>
            <w:r w:rsidRPr="009918CD">
              <w:t>The Recipient shall obtain all permits, approvals or authorizations applicable to the Project, or facilitate the issuance of same from the competent national authorities as the case may be, pursuant to the</w:t>
            </w:r>
            <w:r w:rsidR="008E08A2" w:rsidRPr="009918CD">
              <w:t xml:space="preserve"> </w:t>
            </w:r>
            <w:r w:rsidRPr="009918CD">
              <w:t>laws in force. The documents to be provided are as follows:</w:t>
            </w:r>
          </w:p>
          <w:p w14:paraId="4B030033" w14:textId="40C62FB9" w:rsidR="00E174EA" w:rsidRPr="009918CD" w:rsidRDefault="00E174EA" w:rsidP="009918CD">
            <w:pPr>
              <w:pStyle w:val="TableauPuce1"/>
            </w:pPr>
            <w:r w:rsidRPr="009918CD">
              <w:t>Environmental Compliance Certificate (ECC);</w:t>
            </w:r>
          </w:p>
          <w:p w14:paraId="1670E6C8" w14:textId="07B985B4" w:rsidR="00E174EA" w:rsidRPr="009918CD" w:rsidRDefault="00E174EA" w:rsidP="007A3225">
            <w:pPr>
              <w:pStyle w:val="TableauPuce1"/>
            </w:pPr>
            <w:r w:rsidRPr="009918CD">
              <w:t>Reports on meetings with local populations or public</w:t>
            </w:r>
            <w:r w:rsidR="009918CD">
              <w:t xml:space="preserve"> </w:t>
            </w:r>
            <w:r w:rsidRPr="009918CD">
              <w:t>hearings;</w:t>
            </w:r>
          </w:p>
          <w:p w14:paraId="045255C9" w14:textId="2B3512F9" w:rsidR="00E174EA" w:rsidRPr="009918CD" w:rsidRDefault="00E174EA" w:rsidP="009918CD">
            <w:pPr>
              <w:pStyle w:val="TableauPuce1"/>
            </w:pPr>
            <w:r w:rsidRPr="009918CD">
              <w:t>Deeds of conveyance, land transfer certificates or any other appropriate document</w:t>
            </w:r>
            <w:r w:rsidR="00C52D94" w:rsidRPr="009918CD">
              <w:t xml:space="preserve"> (In case of the construction of new VETLs</w:t>
            </w:r>
            <w:r w:rsidR="008A3D55" w:rsidRPr="009918CD">
              <w:t xml:space="preserve"> or safe spaces)</w:t>
            </w:r>
          </w:p>
          <w:p w14:paraId="24C595CC" w14:textId="1EAC62D0" w:rsidR="00E174EA" w:rsidRPr="009918CD" w:rsidRDefault="00E174EA" w:rsidP="009918CD">
            <w:pPr>
              <w:pStyle w:val="TableauPuce1"/>
            </w:pPr>
            <w:r w:rsidRPr="009918CD">
              <w:t>Building permits.</w:t>
            </w:r>
          </w:p>
        </w:tc>
        <w:tc>
          <w:tcPr>
            <w:tcW w:w="3803" w:type="dxa"/>
          </w:tcPr>
          <w:p w14:paraId="4B107BF0" w14:textId="6C2BED39" w:rsidR="00E174EA" w:rsidRPr="008E08A2" w:rsidRDefault="00E174EA" w:rsidP="00FB27EF">
            <w:pPr>
              <w:pStyle w:val="Tableauparagraphe"/>
            </w:pPr>
            <w:r w:rsidRPr="00A114A9">
              <w:t>Prior to commencement of works</w:t>
            </w:r>
          </w:p>
        </w:tc>
        <w:tc>
          <w:tcPr>
            <w:tcW w:w="3895" w:type="dxa"/>
          </w:tcPr>
          <w:p w14:paraId="526F954E" w14:textId="6D2EC405" w:rsidR="00E174EA" w:rsidRPr="00720499" w:rsidRDefault="00E174EA" w:rsidP="00FB27EF">
            <w:pPr>
              <w:pStyle w:val="Tableauparagraphe"/>
            </w:pPr>
            <w:r w:rsidRPr="00865798">
              <w:t xml:space="preserve">MEPC, </w:t>
            </w:r>
            <w:r w:rsidR="00D45DDB">
              <w:t>PIU</w:t>
            </w:r>
          </w:p>
        </w:tc>
      </w:tr>
      <w:tr w:rsidR="00E174EA" w:rsidRPr="00FD436F" w14:paraId="344524E1" w14:textId="77777777" w:rsidTr="009D5AA1">
        <w:trPr>
          <w:trHeight w:val="20"/>
          <w:jc w:val="center"/>
        </w:trPr>
        <w:tc>
          <w:tcPr>
            <w:tcW w:w="737" w:type="dxa"/>
          </w:tcPr>
          <w:p w14:paraId="1D0E68E6" w14:textId="6C388915" w:rsidR="00E174EA" w:rsidRPr="00A114A9" w:rsidRDefault="00E174EA" w:rsidP="009D5AA1">
            <w:pPr>
              <w:pStyle w:val="Tableauparagraphe"/>
            </w:pPr>
            <w:r w:rsidRPr="00A114A9">
              <w:t>1.5.1</w:t>
            </w:r>
          </w:p>
        </w:tc>
        <w:tc>
          <w:tcPr>
            <w:tcW w:w="6307" w:type="dxa"/>
          </w:tcPr>
          <w:p w14:paraId="4CDAF0DB" w14:textId="4FEFE1B0" w:rsidR="00E174EA" w:rsidRPr="00C7197F" w:rsidRDefault="00E174EA" w:rsidP="00E174EA">
            <w:pPr>
              <w:keepLines/>
              <w:widowControl w:val="0"/>
              <w:jc w:val="both"/>
              <w:rPr>
                <w:rFonts w:cstheme="minorHAnsi"/>
                <w:b/>
                <w:color w:val="5B9BD5" w:themeColor="accent5"/>
              </w:rPr>
            </w:pPr>
            <w:r w:rsidRPr="00A114A9">
              <w:rPr>
                <w:rFonts w:cstheme="minorHAnsi"/>
              </w:rPr>
              <w:t xml:space="preserve">The </w:t>
            </w:r>
            <w:r w:rsidRPr="00A114A9">
              <w:rPr>
                <w:rFonts w:cstheme="minorHAnsi"/>
                <w:i/>
                <w:iCs/>
              </w:rPr>
              <w:t xml:space="preserve">Recipient </w:t>
            </w:r>
            <w:r w:rsidRPr="00A114A9">
              <w:rPr>
                <w:rFonts w:cstheme="minorHAnsi"/>
              </w:rPr>
              <w:t>shall comply or ensure compliance with the permits and authorizations throughout the Project implementation period.</w:t>
            </w:r>
          </w:p>
        </w:tc>
        <w:tc>
          <w:tcPr>
            <w:tcW w:w="3803" w:type="dxa"/>
          </w:tcPr>
          <w:p w14:paraId="0656EF55" w14:textId="40B20EE7" w:rsidR="00E174EA" w:rsidRPr="00C7197F" w:rsidRDefault="00E174EA" w:rsidP="00FB27EF">
            <w:pPr>
              <w:pStyle w:val="Tableauparagraphe"/>
            </w:pPr>
            <w:r w:rsidRPr="00A114A9">
              <w:t>Within the deadlines set in the permits, approvals and authorizations</w:t>
            </w:r>
          </w:p>
        </w:tc>
        <w:tc>
          <w:tcPr>
            <w:tcW w:w="3895" w:type="dxa"/>
          </w:tcPr>
          <w:p w14:paraId="50284753" w14:textId="3622DF6A" w:rsidR="00E174EA" w:rsidRPr="00720499" w:rsidRDefault="00E174EA" w:rsidP="00FB27EF">
            <w:pPr>
              <w:pStyle w:val="Tableauparagraphe"/>
            </w:pPr>
            <w:r w:rsidRPr="00865798">
              <w:t xml:space="preserve">MEPC, </w:t>
            </w:r>
            <w:r w:rsidR="00D45DDB">
              <w:t>PIU</w:t>
            </w:r>
          </w:p>
        </w:tc>
      </w:tr>
      <w:tr w:rsidR="00E174EA" w:rsidRPr="00FD436F" w14:paraId="21F23BEC" w14:textId="77777777" w:rsidTr="009D5AA1">
        <w:trPr>
          <w:trHeight w:val="20"/>
          <w:jc w:val="center"/>
        </w:trPr>
        <w:tc>
          <w:tcPr>
            <w:tcW w:w="737" w:type="dxa"/>
          </w:tcPr>
          <w:p w14:paraId="4C9EA5E3" w14:textId="09F29853" w:rsidR="00E174EA" w:rsidRPr="00A114A9" w:rsidRDefault="00E174EA">
            <w:pPr>
              <w:pStyle w:val="Tableauparagraphe"/>
            </w:pPr>
            <w:r w:rsidRPr="00A114A9">
              <w:t>1.6</w:t>
            </w:r>
          </w:p>
        </w:tc>
        <w:tc>
          <w:tcPr>
            <w:tcW w:w="6307" w:type="dxa"/>
          </w:tcPr>
          <w:p w14:paraId="3ACA6AEA" w14:textId="77777777" w:rsidR="00E174EA" w:rsidRPr="009918CD" w:rsidRDefault="00E174EA" w:rsidP="009918CD">
            <w:pPr>
              <w:pStyle w:val="HeadingMeasure"/>
            </w:pPr>
            <w:r w:rsidRPr="009918CD">
              <w:t>CONTINGENT EMERGENCY RESPONSE</w:t>
            </w:r>
          </w:p>
          <w:p w14:paraId="7D4ED0CD" w14:textId="027466C8" w:rsidR="00E174EA" w:rsidRPr="009918CD" w:rsidRDefault="00E174EA" w:rsidP="009918CD">
            <w:pPr>
              <w:pStyle w:val="Tableauparagraphe"/>
            </w:pPr>
            <w:r w:rsidRPr="009918CD">
              <w:t xml:space="preserve">In the event of an emergency which leads to activation of the Contingent Emergency Response of the Project, the necessary instruments and measures shall be developed as required prior to undertaking of the emergency response activities, to ensure compliance with the ESSs. </w:t>
            </w:r>
          </w:p>
        </w:tc>
        <w:tc>
          <w:tcPr>
            <w:tcW w:w="3803" w:type="dxa"/>
          </w:tcPr>
          <w:p w14:paraId="5FBF37A1" w14:textId="77777777" w:rsidR="007E06B4" w:rsidRDefault="007E06B4" w:rsidP="009918CD">
            <w:pPr>
              <w:pStyle w:val="Tableauparagraphe"/>
            </w:pPr>
          </w:p>
          <w:p w14:paraId="53AD326C" w14:textId="4777F357" w:rsidR="00E174EA" w:rsidRPr="00AB00CF" w:rsidRDefault="00E174EA" w:rsidP="009918CD">
            <w:pPr>
              <w:pStyle w:val="Tableauparagraphe"/>
            </w:pPr>
            <w:r w:rsidRPr="00A114A9">
              <w:t>Prior to the start of emergency</w:t>
            </w:r>
            <w:r w:rsidR="009918CD">
              <w:t xml:space="preserve"> </w:t>
            </w:r>
            <w:r w:rsidRPr="00A114A9">
              <w:t>response activities. The request to</w:t>
            </w:r>
            <w:r w:rsidR="009918CD">
              <w:t xml:space="preserve"> </w:t>
            </w:r>
            <w:r w:rsidRPr="00FD4370">
              <w:t>activate this part shall come from the implementer with prior No O</w:t>
            </w:r>
            <w:r w:rsidRPr="00AB00CF">
              <w:t xml:space="preserve">bjection from the </w:t>
            </w:r>
            <w:r w:rsidR="00B6477E" w:rsidRPr="00AB00CF">
              <w:t>World Bank</w:t>
            </w:r>
            <w:r w:rsidRPr="00AB00CF">
              <w:t>.</w:t>
            </w:r>
          </w:p>
        </w:tc>
        <w:tc>
          <w:tcPr>
            <w:tcW w:w="3895" w:type="dxa"/>
          </w:tcPr>
          <w:p w14:paraId="5AB9D723" w14:textId="77777777" w:rsidR="007E06B4" w:rsidRDefault="007E06B4" w:rsidP="00FB27EF">
            <w:pPr>
              <w:pStyle w:val="Tableauparagraphe"/>
            </w:pPr>
          </w:p>
          <w:p w14:paraId="36742D14" w14:textId="72E1B90D" w:rsidR="00E174EA" w:rsidRPr="00720499" w:rsidRDefault="00E174EA" w:rsidP="00FB27EF">
            <w:pPr>
              <w:pStyle w:val="Tableauparagraphe"/>
            </w:pPr>
            <w:r w:rsidRPr="00865798">
              <w:t xml:space="preserve">MEPC, </w:t>
            </w:r>
            <w:r w:rsidR="00D45DDB">
              <w:t>PIU</w:t>
            </w:r>
          </w:p>
        </w:tc>
      </w:tr>
      <w:tr w:rsidR="00CA493C" w:rsidRPr="00FD436F" w14:paraId="6D36A3F9" w14:textId="77777777" w:rsidTr="009D5AA1">
        <w:trPr>
          <w:trHeight w:val="20"/>
          <w:jc w:val="center"/>
        </w:trPr>
        <w:tc>
          <w:tcPr>
            <w:tcW w:w="737" w:type="dxa"/>
          </w:tcPr>
          <w:p w14:paraId="3975E14B" w14:textId="5194DAAB" w:rsidR="00CA493C" w:rsidRPr="00FD436F" w:rsidRDefault="00CA493C" w:rsidP="00FB27EF">
            <w:pPr>
              <w:pStyle w:val="Tableauparagraphe"/>
              <w:rPr>
                <w:sz w:val="20"/>
                <w:szCs w:val="20"/>
              </w:rPr>
            </w:pPr>
            <w:r>
              <w:rPr>
                <w:sz w:val="20"/>
                <w:szCs w:val="20"/>
              </w:rPr>
              <w:lastRenderedPageBreak/>
              <w:t>1.</w:t>
            </w:r>
            <w:r w:rsidR="00E174EA">
              <w:rPr>
                <w:sz w:val="20"/>
                <w:szCs w:val="20"/>
              </w:rPr>
              <w:t>7</w:t>
            </w:r>
          </w:p>
        </w:tc>
        <w:tc>
          <w:tcPr>
            <w:tcW w:w="6307" w:type="dxa"/>
          </w:tcPr>
          <w:p w14:paraId="54FEB2A5" w14:textId="3EEB2B78" w:rsidR="00CA493C" w:rsidRPr="009918CD" w:rsidRDefault="00CA493C" w:rsidP="009918CD">
            <w:pPr>
              <w:pStyle w:val="HeadingMeasure"/>
            </w:pPr>
            <w:r w:rsidRPr="009918CD">
              <w:t>EXCLUSION</w:t>
            </w:r>
          </w:p>
          <w:p w14:paraId="0EF7BC31" w14:textId="24081AF9" w:rsidR="00CA493C" w:rsidRPr="009918CD" w:rsidRDefault="00CA493C" w:rsidP="009918CD">
            <w:pPr>
              <w:pStyle w:val="Tableauparagraphe"/>
            </w:pPr>
            <w:r w:rsidRPr="009918CD">
              <w:t>Exclude the following type of activities as ineligible for financing under the Project:</w:t>
            </w:r>
          </w:p>
          <w:p w14:paraId="50FB5D6C" w14:textId="60F4A26D" w:rsidR="00CA493C" w:rsidRPr="009918CD" w:rsidRDefault="00CA493C" w:rsidP="009918CD">
            <w:pPr>
              <w:pStyle w:val="TableauPuce1"/>
            </w:pPr>
            <w:r w:rsidRPr="009918CD">
              <w:t>Activities that may cause long term, permanent and/or irreversible (</w:t>
            </w:r>
            <w:r w:rsidR="009918CD" w:rsidRPr="009918CD">
              <w:t>e.g.,</w:t>
            </w:r>
            <w:r w:rsidRPr="009918CD">
              <w:t xml:space="preserve"> loss of major natural habitat) impacts</w:t>
            </w:r>
          </w:p>
          <w:p w14:paraId="563BC5DC" w14:textId="4863958A" w:rsidR="00CA493C" w:rsidRPr="009918CD" w:rsidRDefault="00CA493C" w:rsidP="009918CD">
            <w:pPr>
              <w:pStyle w:val="TableauPuce1"/>
            </w:pPr>
            <w:r w:rsidRPr="009918CD">
              <w:t xml:space="preserve">Activities that have high probability of causing serious adverse effects to human health and/or the environment </w:t>
            </w:r>
          </w:p>
          <w:p w14:paraId="4E2269A7" w14:textId="77777777" w:rsidR="00CA493C" w:rsidRPr="009918CD" w:rsidRDefault="00CA493C" w:rsidP="009918CD">
            <w:pPr>
              <w:pStyle w:val="TableauPuce1"/>
            </w:pPr>
            <w:r w:rsidRPr="009918CD">
              <w:t xml:space="preserve">Activities that may have significant adverse social impacts and may give rise to significant social conflict </w:t>
            </w:r>
          </w:p>
          <w:p w14:paraId="193C189E" w14:textId="77777777" w:rsidR="00CA493C" w:rsidRPr="009918CD" w:rsidRDefault="00CA493C" w:rsidP="009918CD">
            <w:pPr>
              <w:pStyle w:val="TableauPuce1"/>
            </w:pPr>
            <w:r w:rsidRPr="009918CD">
              <w:t>Activities that may affect lands or rights of indigenous people or other vulnerable group/minorities,</w:t>
            </w:r>
          </w:p>
          <w:p w14:paraId="31891CEC" w14:textId="77777777" w:rsidR="00CA493C" w:rsidRPr="009918CD" w:rsidRDefault="00CA493C" w:rsidP="009918CD">
            <w:pPr>
              <w:pStyle w:val="TableauPuce1"/>
            </w:pPr>
            <w:r w:rsidRPr="009918CD">
              <w:t>Activities that may involve permanent resettlement or land acquisition or impacts on cultural heritage</w:t>
            </w:r>
          </w:p>
          <w:p w14:paraId="7A50C3E6" w14:textId="23D0CAD9" w:rsidR="00CA493C" w:rsidRPr="009918CD" w:rsidRDefault="00CA493C" w:rsidP="009918CD">
            <w:pPr>
              <w:pStyle w:val="Tableauparagraphe"/>
            </w:pPr>
            <w:r w:rsidRPr="009918CD">
              <w:t>All the other excluded activities set out in the ESMF of the Project.</w:t>
            </w:r>
          </w:p>
        </w:tc>
        <w:tc>
          <w:tcPr>
            <w:tcW w:w="3803" w:type="dxa"/>
          </w:tcPr>
          <w:p w14:paraId="07783D9A" w14:textId="60FD1E37" w:rsidR="00CA493C" w:rsidRPr="009918CD" w:rsidRDefault="00CA493C" w:rsidP="009918CD">
            <w:pPr>
              <w:pStyle w:val="Tableauparagraphe"/>
            </w:pPr>
            <w:r w:rsidRPr="009918CD">
              <w:t>During the assessment process conducted under action 1.2.a above.</w:t>
            </w:r>
          </w:p>
        </w:tc>
        <w:tc>
          <w:tcPr>
            <w:tcW w:w="3895" w:type="dxa"/>
          </w:tcPr>
          <w:p w14:paraId="2ADFF7EA" w14:textId="588515DE" w:rsidR="00CA493C" w:rsidRPr="00FD436F" w:rsidRDefault="00CA493C" w:rsidP="00FB27EF">
            <w:pPr>
              <w:pStyle w:val="Tableauparagraphe"/>
            </w:pPr>
            <w:r w:rsidRPr="00FD436F">
              <w:t xml:space="preserve">MEPC, </w:t>
            </w:r>
            <w:r w:rsidR="00D45DDB">
              <w:t>PIU</w:t>
            </w:r>
          </w:p>
        </w:tc>
      </w:tr>
      <w:tr w:rsidR="00CA493C" w:rsidRPr="00FD436F" w14:paraId="4CD2AF65" w14:textId="77777777" w:rsidTr="009D5AA1">
        <w:trPr>
          <w:trHeight w:val="206"/>
          <w:jc w:val="center"/>
        </w:trPr>
        <w:tc>
          <w:tcPr>
            <w:tcW w:w="14742" w:type="dxa"/>
            <w:gridSpan w:val="4"/>
            <w:shd w:val="clear" w:color="auto" w:fill="F4B083" w:themeFill="accent2" w:themeFillTint="99"/>
          </w:tcPr>
          <w:p w14:paraId="2738E5C0" w14:textId="77777777" w:rsidR="00CA493C" w:rsidRPr="00FD436F" w:rsidRDefault="00CA493C" w:rsidP="00F83C0B">
            <w:pPr>
              <w:pStyle w:val="ESSHeading"/>
            </w:pPr>
            <w:r w:rsidRPr="00FD436F">
              <w:t>ESS 2:  Labor and Working Conditions</w:t>
            </w:r>
          </w:p>
        </w:tc>
      </w:tr>
      <w:tr w:rsidR="00CA493C" w:rsidRPr="00FD436F" w14:paraId="3D1122BF" w14:textId="77DE9CBF" w:rsidTr="009D5AA1">
        <w:trPr>
          <w:trHeight w:val="20"/>
          <w:jc w:val="center"/>
        </w:trPr>
        <w:tc>
          <w:tcPr>
            <w:tcW w:w="737" w:type="dxa"/>
          </w:tcPr>
          <w:p w14:paraId="577C00AF" w14:textId="070ED71E" w:rsidR="00CA493C" w:rsidRPr="00FD436F" w:rsidRDefault="00CA493C" w:rsidP="00FB27EF">
            <w:pPr>
              <w:pStyle w:val="Tableauparagraphe"/>
            </w:pPr>
            <w:r>
              <w:t>2.1</w:t>
            </w:r>
          </w:p>
        </w:tc>
        <w:tc>
          <w:tcPr>
            <w:tcW w:w="6307" w:type="dxa"/>
          </w:tcPr>
          <w:p w14:paraId="606E9853" w14:textId="77777777" w:rsidR="009918CD" w:rsidRDefault="00CA493C" w:rsidP="009918CD">
            <w:pPr>
              <w:pStyle w:val="HeadingMeasure"/>
            </w:pPr>
            <w:r>
              <w:t>LABOR</w:t>
            </w:r>
            <w:r w:rsidRPr="00FD436F">
              <w:t xml:space="preserve"> MANAGEMENT PROCEDURES</w:t>
            </w:r>
          </w:p>
          <w:p w14:paraId="105C3B9C" w14:textId="4BC27B5E" w:rsidR="00CA493C" w:rsidRPr="00FD436F" w:rsidRDefault="007A3225" w:rsidP="007A3225">
            <w:pPr>
              <w:pStyle w:val="Tableauparagraphe"/>
            </w:pPr>
            <w:r w:rsidRPr="007A3225">
              <w:t>The Project shall carry out activities in accordance with the LMP (mentioned in 1.</w:t>
            </w:r>
            <w:r>
              <w:t>3</w:t>
            </w:r>
            <w:r w:rsidRPr="007A3225">
              <w:t>),</w:t>
            </w:r>
            <w:r>
              <w:t xml:space="preserve"> the labor laws and regulations of CAR, </w:t>
            </w:r>
            <w:r w:rsidRPr="007A3225">
              <w:t xml:space="preserve">and the applicable requirements of ESS2, in a manner acceptable to the </w:t>
            </w:r>
            <w:r w:rsidR="00746E54">
              <w:t>World Bank</w:t>
            </w:r>
            <w:r w:rsidRPr="007A3225">
              <w:t>, including through, inter alia, implementing adequate occupational health and safety measures (including emergency preparedness and response measures), prohibiting child labor (for children under 18) due to the hazardous work environment, setting out grievance arrangements for Project workers, and incorporating/annexing labor requirements into the ESHS specifications of the procurement documents and contracts with contractors and supervising firms.</w:t>
            </w:r>
          </w:p>
        </w:tc>
        <w:tc>
          <w:tcPr>
            <w:tcW w:w="3803" w:type="dxa"/>
            <w:shd w:val="clear" w:color="auto" w:fill="FFFFFF" w:themeFill="background1"/>
          </w:tcPr>
          <w:p w14:paraId="09B64E7F" w14:textId="72658DFA" w:rsidR="00CA493C" w:rsidRPr="008E561B" w:rsidRDefault="00CA493C" w:rsidP="00FB27EF">
            <w:pPr>
              <w:pStyle w:val="Tableauparagraphe"/>
              <w:rPr>
                <w:shd w:val="clear" w:color="auto" w:fill="FFFFFF" w:themeFill="background1"/>
              </w:rPr>
            </w:pPr>
            <w:r>
              <w:rPr>
                <w:shd w:val="clear" w:color="auto" w:fill="FFFFFF" w:themeFill="background1"/>
              </w:rPr>
              <w:t xml:space="preserve">LMP </w:t>
            </w:r>
            <w:r w:rsidRPr="00FD436F">
              <w:rPr>
                <w:shd w:val="clear" w:color="auto" w:fill="FFFFFF" w:themeFill="background1"/>
              </w:rPr>
              <w:t xml:space="preserve">must be prepared and submitted to the </w:t>
            </w:r>
            <w:r>
              <w:rPr>
                <w:shd w:val="clear" w:color="auto" w:fill="FFFFFF" w:themeFill="background1"/>
              </w:rPr>
              <w:t>World Bank</w:t>
            </w:r>
            <w:r w:rsidRPr="00FD436F">
              <w:rPr>
                <w:shd w:val="clear" w:color="auto" w:fill="FFFFFF" w:themeFill="background1"/>
              </w:rPr>
              <w:t xml:space="preserve"> for review and approval</w:t>
            </w:r>
            <w:r w:rsidR="007C5E47" w:rsidRPr="001F094E">
              <w:rPr>
                <w:color w:val="00B050"/>
                <w:shd w:val="clear" w:color="auto" w:fill="FFFFFF" w:themeFill="background1"/>
              </w:rPr>
              <w:t xml:space="preserve"> </w:t>
            </w:r>
            <w:r w:rsidR="008F5CD0" w:rsidRPr="008E561B">
              <w:t>prior to the project effective date</w:t>
            </w:r>
          </w:p>
          <w:p w14:paraId="3D678D1E" w14:textId="39170DA5" w:rsidR="00412912" w:rsidRPr="00FD436F" w:rsidRDefault="00412912" w:rsidP="00FB27EF">
            <w:pPr>
              <w:pStyle w:val="Tableauparagraphe"/>
            </w:pPr>
            <w:r>
              <w:rPr>
                <w:rFonts w:eastAsia="Times New Roman"/>
              </w:rPr>
              <w:t>LMP to be completed no later than two months after Project Effective date T</w:t>
            </w:r>
            <w:r w:rsidRPr="00D511DE">
              <w:rPr>
                <w:rFonts w:eastAsia="Times New Roman"/>
                <w:bCs/>
              </w:rPr>
              <w:t>hroughout Project implementation.</w:t>
            </w:r>
          </w:p>
        </w:tc>
        <w:tc>
          <w:tcPr>
            <w:tcW w:w="3895" w:type="dxa"/>
          </w:tcPr>
          <w:p w14:paraId="489D8047" w14:textId="7F03940B" w:rsidR="00CA493C" w:rsidRPr="00FD436F" w:rsidRDefault="00CA493C" w:rsidP="00FB27EF">
            <w:pPr>
              <w:pStyle w:val="Tableauparagraphe"/>
            </w:pPr>
            <w:r w:rsidRPr="00FD436F">
              <w:t xml:space="preserve">MEPC, </w:t>
            </w:r>
            <w:r w:rsidR="00D45DDB">
              <w:t>PIU</w:t>
            </w:r>
          </w:p>
        </w:tc>
      </w:tr>
      <w:tr w:rsidR="00CA493C" w:rsidRPr="00FD436F" w14:paraId="0483BEDD" w14:textId="77777777" w:rsidTr="009D5AA1">
        <w:trPr>
          <w:trHeight w:val="20"/>
          <w:jc w:val="center"/>
        </w:trPr>
        <w:tc>
          <w:tcPr>
            <w:tcW w:w="737" w:type="dxa"/>
          </w:tcPr>
          <w:p w14:paraId="0BF444DC" w14:textId="4714FB0D" w:rsidR="00CA493C" w:rsidRPr="00FD436F" w:rsidRDefault="00CA493C" w:rsidP="00FB27EF">
            <w:pPr>
              <w:pStyle w:val="Tableauparagraphe"/>
            </w:pPr>
            <w:r>
              <w:t>2.2</w:t>
            </w:r>
          </w:p>
        </w:tc>
        <w:tc>
          <w:tcPr>
            <w:tcW w:w="6307" w:type="dxa"/>
          </w:tcPr>
          <w:p w14:paraId="1CC6DDA5" w14:textId="7D1CADD3" w:rsidR="00CA493C" w:rsidRPr="00FD436F" w:rsidRDefault="00CA493C" w:rsidP="00CA493C">
            <w:pPr>
              <w:pStyle w:val="MainText"/>
              <w:keepLines/>
              <w:widowControl w:val="0"/>
              <w:spacing w:after="0" w:line="240" w:lineRule="auto"/>
              <w:jc w:val="both"/>
              <w:rPr>
                <w:rFonts w:asciiTheme="minorHAnsi" w:hAnsiTheme="minorHAnsi" w:cstheme="minorHAnsi"/>
                <w:b/>
                <w:color w:val="5B9BD5" w:themeColor="accent5"/>
                <w:sz w:val="22"/>
                <w:lang w:val="en-US"/>
              </w:rPr>
            </w:pPr>
            <w:r>
              <w:rPr>
                <w:rFonts w:asciiTheme="minorHAnsi" w:hAnsiTheme="minorHAnsi" w:cstheme="minorHAnsi"/>
                <w:b/>
                <w:color w:val="5B9BD5" w:themeColor="accent5"/>
                <w:sz w:val="22"/>
                <w:lang w:val="en-US"/>
              </w:rPr>
              <w:t xml:space="preserve">GRIEVANCE </w:t>
            </w:r>
            <w:r w:rsidRPr="00FD436F">
              <w:rPr>
                <w:rFonts w:asciiTheme="minorHAnsi" w:hAnsiTheme="minorHAnsi" w:cstheme="minorHAnsi"/>
                <w:b/>
                <w:color w:val="5B9BD5" w:themeColor="accent5"/>
                <w:sz w:val="22"/>
                <w:lang w:val="en-US"/>
              </w:rPr>
              <w:t>MECHANISM FOR PROJECT WORKERS</w:t>
            </w:r>
          </w:p>
          <w:p w14:paraId="35025BCD" w14:textId="114AFE62" w:rsidR="00CA493C" w:rsidRPr="00FD436F" w:rsidRDefault="00CA493C" w:rsidP="00355A40">
            <w:pPr>
              <w:pStyle w:val="Tableauparagraphe"/>
            </w:pPr>
            <w:r w:rsidRPr="00FD436F">
              <w:rPr>
                <w:noProof/>
              </w:rPr>
              <w:lastRenderedPageBreak/>
              <w:t xml:space="preserve">The </w:t>
            </w:r>
            <w:r>
              <w:rPr>
                <w:noProof/>
              </w:rPr>
              <w:t>Recipient</w:t>
            </w:r>
            <w:r w:rsidRPr="00FD436F">
              <w:rPr>
                <w:noProof/>
              </w:rPr>
              <w:t xml:space="preserve"> wil</w:t>
            </w:r>
            <w:r w:rsidR="00894CA7">
              <w:rPr>
                <w:noProof/>
              </w:rPr>
              <w:t>l</w:t>
            </w:r>
            <w:r>
              <w:t xml:space="preserve"> establish a grievance mechanism for project workers, as described in the LMP and consistent with ESS2.</w:t>
            </w:r>
          </w:p>
        </w:tc>
        <w:tc>
          <w:tcPr>
            <w:tcW w:w="3803" w:type="dxa"/>
            <w:shd w:val="clear" w:color="auto" w:fill="FFFFFF" w:themeFill="background1"/>
          </w:tcPr>
          <w:p w14:paraId="3688A3EF" w14:textId="526972B3" w:rsidR="00CA493C" w:rsidRPr="00FD436F" w:rsidRDefault="00CA493C" w:rsidP="00FB27EF">
            <w:pPr>
              <w:pStyle w:val="Tableauparagraphe"/>
              <w:rPr>
                <w:rFonts w:cstheme="minorHAnsi"/>
                <w:i/>
                <w:shd w:val="clear" w:color="auto" w:fill="FFFFFF" w:themeFill="background1"/>
              </w:rPr>
            </w:pPr>
            <w:r w:rsidRPr="00FD436F">
              <w:rPr>
                <w:rFonts w:cstheme="minorHAnsi"/>
                <w:i/>
                <w:shd w:val="clear" w:color="auto" w:fill="FFFFFF" w:themeFill="background1"/>
              </w:rPr>
              <w:lastRenderedPageBreak/>
              <w:t>To be incorporated in E&amp;S documents</w:t>
            </w:r>
            <w:r>
              <w:rPr>
                <w:rFonts w:cstheme="minorHAnsi"/>
                <w:i/>
                <w:shd w:val="clear" w:color="auto" w:fill="FFFFFF" w:themeFill="background1"/>
              </w:rPr>
              <w:t xml:space="preserve"> </w:t>
            </w:r>
            <w:r w:rsidR="007F0E77" w:rsidRPr="00133C1D">
              <w:t xml:space="preserve">prepared, disclosed, consulted upon, </w:t>
            </w:r>
            <w:r w:rsidR="007F0E77" w:rsidRPr="00133C1D">
              <w:lastRenderedPageBreak/>
              <w:t xml:space="preserve">approved, and </w:t>
            </w:r>
            <w:r w:rsidR="007F0E77" w:rsidRPr="008E561B">
              <w:t xml:space="preserve">adopted </w:t>
            </w:r>
            <w:r w:rsidR="008F5CD0" w:rsidRPr="008E561B">
              <w:t>prior to the project effective</w:t>
            </w:r>
            <w:r w:rsidR="00F7098D" w:rsidRPr="008E561B">
              <w:t>ness</w:t>
            </w:r>
            <w:r w:rsidR="008F5CD0" w:rsidRPr="008E561B">
              <w:t xml:space="preserve"> date</w:t>
            </w:r>
          </w:p>
        </w:tc>
        <w:tc>
          <w:tcPr>
            <w:tcW w:w="3895" w:type="dxa"/>
          </w:tcPr>
          <w:p w14:paraId="7CDFE2D7" w14:textId="77777777" w:rsidR="00CA493C" w:rsidRPr="00FD436F" w:rsidRDefault="00CA493C" w:rsidP="00FB27EF">
            <w:pPr>
              <w:pStyle w:val="Tableauparagraphe"/>
              <w:rPr>
                <w:rFonts w:cstheme="minorHAnsi"/>
              </w:rPr>
            </w:pPr>
            <w:r w:rsidRPr="00FD436F">
              <w:rPr>
                <w:rFonts w:cstheme="minorHAnsi"/>
              </w:rPr>
              <w:lastRenderedPageBreak/>
              <w:t>MEPC, for staff recruitment</w:t>
            </w:r>
          </w:p>
          <w:p w14:paraId="3305E736" w14:textId="47537477" w:rsidR="00CA493C" w:rsidRPr="00FD436F" w:rsidRDefault="00D45DDB" w:rsidP="00FB27EF">
            <w:pPr>
              <w:pStyle w:val="Tableauparagraphe"/>
              <w:rPr>
                <w:rFonts w:cstheme="minorHAnsi"/>
              </w:rPr>
            </w:pPr>
            <w:r>
              <w:rPr>
                <w:rFonts w:cstheme="minorHAnsi"/>
              </w:rPr>
              <w:lastRenderedPageBreak/>
              <w:t>PIU</w:t>
            </w:r>
            <w:r w:rsidR="00CA493C" w:rsidRPr="00FD436F">
              <w:rPr>
                <w:rFonts w:cstheme="minorHAnsi"/>
              </w:rPr>
              <w:t xml:space="preserve"> for the recruitment of contractors/ subcontractors</w:t>
            </w:r>
          </w:p>
        </w:tc>
      </w:tr>
      <w:tr w:rsidR="00CA493C" w:rsidRPr="00FD436F" w14:paraId="0FB18662" w14:textId="77777777" w:rsidTr="009D5AA1">
        <w:trPr>
          <w:trHeight w:val="20"/>
          <w:jc w:val="center"/>
        </w:trPr>
        <w:tc>
          <w:tcPr>
            <w:tcW w:w="737" w:type="dxa"/>
          </w:tcPr>
          <w:p w14:paraId="63D7D6E5" w14:textId="3F32B2F6" w:rsidR="00CA493C" w:rsidRPr="00FD436F" w:rsidRDefault="00CA493C" w:rsidP="00FB27EF">
            <w:pPr>
              <w:pStyle w:val="Tableauparagraphe"/>
            </w:pPr>
            <w:r>
              <w:lastRenderedPageBreak/>
              <w:t>2.3</w:t>
            </w:r>
          </w:p>
        </w:tc>
        <w:tc>
          <w:tcPr>
            <w:tcW w:w="6307" w:type="dxa"/>
          </w:tcPr>
          <w:p w14:paraId="5BDB5B78" w14:textId="77777777" w:rsidR="00CA493C" w:rsidRPr="00FD436F" w:rsidRDefault="00CA493C" w:rsidP="00355A40">
            <w:pPr>
              <w:pStyle w:val="HeadingMeasure"/>
            </w:pPr>
            <w:r w:rsidRPr="00FD436F">
              <w:t>OCCUPATIONAL HEALTH AND SAFETY (OHS) MEASURES</w:t>
            </w:r>
          </w:p>
          <w:p w14:paraId="6A5BF9E3" w14:textId="6C5251BF" w:rsidR="00CA493C" w:rsidRPr="00FD436F" w:rsidRDefault="006C547D" w:rsidP="00355A40">
            <w:pPr>
              <w:pStyle w:val="Tableauparagraphe"/>
            </w:pPr>
            <w:r>
              <w:t>Project</w:t>
            </w:r>
            <w:r w:rsidRPr="00FD436F">
              <w:t xml:space="preserve"> </w:t>
            </w:r>
            <w:r w:rsidR="00CA493C" w:rsidRPr="00FD436F">
              <w:t xml:space="preserve">activities require OHS </w:t>
            </w:r>
            <w:r w:rsidR="00CA493C">
              <w:t>measures</w:t>
            </w:r>
            <w:r w:rsidR="00CA493C" w:rsidRPr="00FD436F">
              <w:t>, as the staff that will be recruited will carry out field missions and perform clerical work with health and safety hazards.</w:t>
            </w:r>
            <w:r w:rsidR="00782DDE">
              <w:t xml:space="preserve"> </w:t>
            </w:r>
            <w:r w:rsidR="00782DDE" w:rsidRPr="00782DDE">
              <w:t>This also applies to the staff of the contractors who will be on site and any other workers on the project</w:t>
            </w:r>
          </w:p>
        </w:tc>
        <w:tc>
          <w:tcPr>
            <w:tcW w:w="3803" w:type="dxa"/>
            <w:shd w:val="clear" w:color="auto" w:fill="FFFFFF" w:themeFill="background1"/>
          </w:tcPr>
          <w:p w14:paraId="658E6C7A" w14:textId="7A3C0BDC" w:rsidR="00CA493C" w:rsidRPr="00FD436F" w:rsidRDefault="00CA493C" w:rsidP="00FB27EF">
            <w:pPr>
              <w:pStyle w:val="Tableauparagraphe"/>
              <w:rPr>
                <w:rFonts w:cstheme="minorHAnsi"/>
                <w:i/>
                <w:shd w:val="clear" w:color="auto" w:fill="FFFFFF" w:themeFill="background1"/>
              </w:rPr>
            </w:pPr>
            <w:r w:rsidRPr="00FD436F">
              <w:rPr>
                <w:rFonts w:cstheme="minorHAnsi"/>
                <w:i/>
                <w:shd w:val="clear" w:color="auto" w:fill="FFFFFF" w:themeFill="background1"/>
              </w:rPr>
              <w:t xml:space="preserve">To incorporate into </w:t>
            </w:r>
            <w:r>
              <w:rPr>
                <w:rFonts w:cstheme="minorHAnsi"/>
                <w:i/>
                <w:shd w:val="clear" w:color="auto" w:fill="FFFFFF" w:themeFill="background1"/>
              </w:rPr>
              <w:t xml:space="preserve">LMP </w:t>
            </w:r>
            <w:r w:rsidR="006C547D" w:rsidRPr="00133C1D">
              <w:t xml:space="preserve">prepared, disclosed, consulted upon, approved, and adopted </w:t>
            </w:r>
            <w:r w:rsidR="008F5CD0" w:rsidRPr="008E561B">
              <w:t>prior to the project effective</w:t>
            </w:r>
            <w:r w:rsidR="00F7098D" w:rsidRPr="008E561B">
              <w:t>ness</w:t>
            </w:r>
            <w:r w:rsidR="008F5CD0" w:rsidRPr="008E561B">
              <w:t xml:space="preserve"> date</w:t>
            </w:r>
          </w:p>
        </w:tc>
        <w:tc>
          <w:tcPr>
            <w:tcW w:w="3895" w:type="dxa"/>
          </w:tcPr>
          <w:p w14:paraId="23E47D8E" w14:textId="67A7C67B" w:rsidR="00CA493C" w:rsidRPr="00FD436F" w:rsidRDefault="00CA493C" w:rsidP="00FB27EF">
            <w:pPr>
              <w:pStyle w:val="Tableauparagraphe"/>
              <w:rPr>
                <w:rFonts w:cstheme="minorHAnsi"/>
              </w:rPr>
            </w:pPr>
            <w:r w:rsidRPr="00FD436F">
              <w:rPr>
                <w:rFonts w:cstheme="minorHAnsi"/>
              </w:rPr>
              <w:t xml:space="preserve">MEPC, </w:t>
            </w:r>
            <w:r w:rsidR="00D45DDB">
              <w:rPr>
                <w:rFonts w:cstheme="minorHAnsi"/>
              </w:rPr>
              <w:t>PIU</w:t>
            </w:r>
          </w:p>
        </w:tc>
      </w:tr>
      <w:tr w:rsidR="00CA493C" w:rsidRPr="00FD436F" w14:paraId="14C41C10" w14:textId="77777777" w:rsidTr="009D5AA1">
        <w:trPr>
          <w:trHeight w:val="20"/>
          <w:jc w:val="center"/>
        </w:trPr>
        <w:tc>
          <w:tcPr>
            <w:tcW w:w="737" w:type="dxa"/>
          </w:tcPr>
          <w:p w14:paraId="1DF32CE0" w14:textId="34F890DF" w:rsidR="00CA493C" w:rsidRPr="00FD436F" w:rsidRDefault="00CA493C" w:rsidP="00FB27EF">
            <w:pPr>
              <w:pStyle w:val="Tableauparagraphe"/>
            </w:pPr>
            <w:r w:rsidRPr="00FD436F">
              <w:t>2.4</w:t>
            </w:r>
          </w:p>
        </w:tc>
        <w:tc>
          <w:tcPr>
            <w:tcW w:w="6307" w:type="dxa"/>
          </w:tcPr>
          <w:p w14:paraId="7705627B" w14:textId="77777777" w:rsidR="00355A40" w:rsidRDefault="00CA493C" w:rsidP="00355A40">
            <w:pPr>
              <w:pStyle w:val="HeadingMeasure"/>
            </w:pPr>
            <w:r w:rsidRPr="00FD436F">
              <w:t>EMERGENCY PREPAREDNESS AND RESPONSE</w:t>
            </w:r>
          </w:p>
          <w:p w14:paraId="150D5130" w14:textId="271AC553" w:rsidR="00CA493C" w:rsidRPr="00FD436F" w:rsidRDefault="00CA493C" w:rsidP="00CA493C">
            <w:pPr>
              <w:keepLines/>
              <w:widowControl w:val="0"/>
              <w:jc w:val="both"/>
            </w:pPr>
            <w:r w:rsidRPr="00FD436F">
              <w:t xml:space="preserve">The </w:t>
            </w:r>
            <w:r>
              <w:t>Recipient</w:t>
            </w:r>
            <w:r w:rsidRPr="00FD436F">
              <w:t xml:space="preserve"> will include emergency preparedness and response mechanisms in the OHS measures identified in paragraph 2.3.</w:t>
            </w:r>
          </w:p>
        </w:tc>
        <w:tc>
          <w:tcPr>
            <w:tcW w:w="3803" w:type="dxa"/>
            <w:shd w:val="clear" w:color="auto" w:fill="FFFFFF" w:themeFill="background1"/>
          </w:tcPr>
          <w:p w14:paraId="3AF060AD" w14:textId="3DDD6563" w:rsidR="00CA493C" w:rsidRPr="00FD436F" w:rsidRDefault="00CA493C" w:rsidP="00FB27EF">
            <w:pPr>
              <w:pStyle w:val="Tableauparagraphe"/>
              <w:rPr>
                <w:rFonts w:cstheme="minorHAnsi"/>
                <w:i/>
                <w:shd w:val="clear" w:color="auto" w:fill="FFFFFF" w:themeFill="background1"/>
              </w:rPr>
            </w:pPr>
            <w:r w:rsidRPr="00FD436F">
              <w:rPr>
                <w:rFonts w:cstheme="minorHAnsi"/>
                <w:i/>
                <w:shd w:val="clear" w:color="auto" w:fill="FFFFFF" w:themeFill="background1"/>
              </w:rPr>
              <w:t>To be incorporated in</w:t>
            </w:r>
            <w:r>
              <w:rPr>
                <w:rFonts w:cstheme="minorHAnsi"/>
                <w:i/>
                <w:shd w:val="clear" w:color="auto" w:fill="FFFFFF" w:themeFill="background1"/>
              </w:rPr>
              <w:t xml:space="preserve">to LMP </w:t>
            </w:r>
            <w:r w:rsidR="00CE31E7" w:rsidRPr="00133C1D">
              <w:t xml:space="preserve">prepared, disclosed, consulted upon, approved, and adopted </w:t>
            </w:r>
            <w:r w:rsidR="00E07735" w:rsidRPr="008E561B">
              <w:t>prior to the project effective</w:t>
            </w:r>
            <w:r w:rsidR="00F7098D" w:rsidRPr="008E561B">
              <w:t>ness</w:t>
            </w:r>
            <w:r w:rsidR="00E07735" w:rsidRPr="008E561B">
              <w:t xml:space="preserve"> date</w:t>
            </w:r>
          </w:p>
        </w:tc>
        <w:tc>
          <w:tcPr>
            <w:tcW w:w="3895" w:type="dxa"/>
          </w:tcPr>
          <w:p w14:paraId="32B99634" w14:textId="2A7640F0" w:rsidR="00CA493C" w:rsidRPr="00FD436F" w:rsidRDefault="00CA493C" w:rsidP="00FB27EF">
            <w:pPr>
              <w:pStyle w:val="Tableauparagraphe"/>
              <w:rPr>
                <w:rFonts w:cstheme="minorHAnsi"/>
              </w:rPr>
            </w:pPr>
            <w:r w:rsidRPr="00FD436F">
              <w:rPr>
                <w:rFonts w:cstheme="minorHAnsi"/>
              </w:rPr>
              <w:t xml:space="preserve">MEPC, </w:t>
            </w:r>
            <w:r w:rsidR="00D45DDB">
              <w:rPr>
                <w:rFonts w:cstheme="minorHAnsi"/>
              </w:rPr>
              <w:t>PIU</w:t>
            </w:r>
          </w:p>
        </w:tc>
      </w:tr>
      <w:tr w:rsidR="00CA493C" w:rsidRPr="00FD436F" w14:paraId="0E53F498" w14:textId="77777777" w:rsidTr="009D5AA1">
        <w:trPr>
          <w:trHeight w:val="20"/>
          <w:jc w:val="center"/>
        </w:trPr>
        <w:tc>
          <w:tcPr>
            <w:tcW w:w="14742" w:type="dxa"/>
            <w:gridSpan w:val="4"/>
            <w:shd w:val="clear" w:color="auto" w:fill="F4B083" w:themeFill="accent2" w:themeFillTint="99"/>
          </w:tcPr>
          <w:p w14:paraId="27875851" w14:textId="5997B7BA" w:rsidR="00CA493C" w:rsidRPr="00786E24" w:rsidRDefault="00CA493C" w:rsidP="00355A40">
            <w:pPr>
              <w:pStyle w:val="ESSHeading"/>
            </w:pPr>
            <w:r w:rsidRPr="00CC3F79">
              <w:t>ESS 3: Resource Efficiency and Pollution Prevention and Management</w:t>
            </w:r>
          </w:p>
        </w:tc>
      </w:tr>
      <w:tr w:rsidR="00753B13" w:rsidRPr="00FD436F" w14:paraId="5E726466" w14:textId="77777777" w:rsidTr="009D5AA1">
        <w:trPr>
          <w:trHeight w:val="20"/>
          <w:jc w:val="center"/>
        </w:trPr>
        <w:tc>
          <w:tcPr>
            <w:tcW w:w="737" w:type="dxa"/>
          </w:tcPr>
          <w:p w14:paraId="7A6707B7" w14:textId="6E3C2F03" w:rsidR="00753B13" w:rsidRPr="00753B13" w:rsidRDefault="00753B13" w:rsidP="00FB27EF">
            <w:pPr>
              <w:pStyle w:val="Tableauparagraphe"/>
            </w:pPr>
            <w:r w:rsidRPr="00A114A9">
              <w:t>3.1</w:t>
            </w:r>
          </w:p>
        </w:tc>
        <w:tc>
          <w:tcPr>
            <w:tcW w:w="6307" w:type="dxa"/>
          </w:tcPr>
          <w:p w14:paraId="15E4713D" w14:textId="2404D299" w:rsidR="00753B13" w:rsidRPr="00A114A9" w:rsidRDefault="00753B13" w:rsidP="00355A40">
            <w:pPr>
              <w:pStyle w:val="HeadingMeasure"/>
            </w:pPr>
            <w:r w:rsidRPr="00A114A9">
              <w:t>WASTE MANAGEMENT PLAN</w:t>
            </w:r>
          </w:p>
          <w:p w14:paraId="7A4D568F" w14:textId="6D759A27" w:rsidR="007A3225" w:rsidRDefault="007A3225" w:rsidP="007D782D">
            <w:pPr>
              <w:pStyle w:val="Tableauparagraphe"/>
            </w:pPr>
            <w:r w:rsidRPr="007A3225">
              <w:t>Relevant aspects of this standard shall be considered, as needed, under action 1.</w:t>
            </w:r>
            <w:r w:rsidR="00656890">
              <w:t>2</w:t>
            </w:r>
            <w:r w:rsidRPr="007A3225">
              <w:t xml:space="preserve"> above, including, inter alia, measures to manage hazardous and non-hazardous wastes and to use resources (water, air, etc.) in accordance with implementing partners’ rules and regulations and consistent with ESS3, relevant World Bank Group Environmental, Health and Safety Guidelines (WBG EHS Guidelines), and relevant sources of Good International Industry Practices (as defined in ESS3).</w:t>
            </w:r>
          </w:p>
          <w:p w14:paraId="77D90168" w14:textId="66D7A7CD" w:rsidR="00753B13" w:rsidRPr="00A114A9" w:rsidRDefault="00753B13" w:rsidP="007D782D">
            <w:pPr>
              <w:pStyle w:val="Tableauparagraphe"/>
            </w:pPr>
            <w:r w:rsidRPr="00A114A9">
              <w:t xml:space="preserve">The </w:t>
            </w:r>
            <w:r w:rsidRPr="00A114A9">
              <w:rPr>
                <w:i/>
                <w:iCs/>
              </w:rPr>
              <w:t xml:space="preserve">Recipient </w:t>
            </w:r>
            <w:r w:rsidRPr="00A114A9">
              <w:t>shall ensure the implementation of the waste</w:t>
            </w:r>
            <w:r w:rsidR="00587F5D">
              <w:t xml:space="preserve"> </w:t>
            </w:r>
            <w:r w:rsidR="0092352A">
              <w:t>(medical and bio</w:t>
            </w:r>
            <w:r w:rsidR="00CF4998">
              <w:t>m</w:t>
            </w:r>
            <w:r w:rsidR="0092352A">
              <w:t>edical)</w:t>
            </w:r>
            <w:r w:rsidRPr="00A114A9">
              <w:t xml:space="preserve"> and hazardous material handling plan on the target sites.</w:t>
            </w:r>
          </w:p>
          <w:p w14:paraId="3E283E05" w14:textId="77777777" w:rsidR="00753B13" w:rsidRPr="00A114A9" w:rsidRDefault="00753B13" w:rsidP="007D782D">
            <w:pPr>
              <w:pStyle w:val="Tableauparagraphe"/>
            </w:pPr>
            <w:r w:rsidRPr="00A114A9">
              <w:t xml:space="preserve">The </w:t>
            </w:r>
            <w:r w:rsidRPr="00A114A9">
              <w:rPr>
                <w:i/>
                <w:iCs/>
              </w:rPr>
              <w:t xml:space="preserve">Recipient </w:t>
            </w:r>
            <w:r w:rsidRPr="00A114A9">
              <w:t>shall equally ensure that the Project suppliers/vendors prepare and apply a waste and hazardous material handling plan (ordinary waste and special waste).</w:t>
            </w:r>
          </w:p>
          <w:p w14:paraId="5D9FE240" w14:textId="55DCEC0B" w:rsidR="00753B13" w:rsidRPr="00A114A9" w:rsidRDefault="009470AD" w:rsidP="007D782D">
            <w:pPr>
              <w:pStyle w:val="Tableauparagraphe"/>
              <w:rPr>
                <w:rFonts w:ascii="Calibri" w:hAnsi="Calibri" w:cs="Calibri"/>
              </w:rPr>
            </w:pPr>
            <w:r>
              <w:rPr>
                <w:rFonts w:ascii="Calibri" w:hAnsi="Calibri" w:cs="Calibri"/>
              </w:rPr>
              <w:lastRenderedPageBreak/>
              <w:t>Medical waste, including chemicals,</w:t>
            </w:r>
            <w:r w:rsidR="00CF4998">
              <w:rPr>
                <w:rFonts w:ascii="Calibri" w:hAnsi="Calibri" w:cs="Calibri"/>
              </w:rPr>
              <w:t xml:space="preserve"> </w:t>
            </w:r>
            <w:r>
              <w:rPr>
                <w:rFonts w:ascii="Calibri" w:hAnsi="Calibri" w:cs="Calibri"/>
              </w:rPr>
              <w:t>contaminated PPE, equipment and kits for small surgeries should be stored, transported and disposed of safely.</w:t>
            </w:r>
          </w:p>
        </w:tc>
        <w:tc>
          <w:tcPr>
            <w:tcW w:w="3803" w:type="dxa"/>
          </w:tcPr>
          <w:p w14:paraId="59B7AB4F" w14:textId="38146E40" w:rsidR="00753B13" w:rsidRPr="00753B13" w:rsidRDefault="00753B13" w:rsidP="00355A40">
            <w:pPr>
              <w:pStyle w:val="Tableauparagraphe"/>
            </w:pPr>
            <w:r w:rsidRPr="00A114A9">
              <w:lastRenderedPageBreak/>
              <w:t xml:space="preserve">Prior to commencement of activities on the Project sites and throughout Project implementation period. </w:t>
            </w:r>
          </w:p>
        </w:tc>
        <w:tc>
          <w:tcPr>
            <w:tcW w:w="3895" w:type="dxa"/>
          </w:tcPr>
          <w:p w14:paraId="64F9CE76" w14:textId="15A61261" w:rsidR="00753B13" w:rsidRPr="00E352A7" w:rsidRDefault="00753B13" w:rsidP="00355A40">
            <w:pPr>
              <w:pStyle w:val="Tableauparagraphe"/>
            </w:pPr>
            <w:r w:rsidRPr="00E352A7">
              <w:t xml:space="preserve">MEPC, </w:t>
            </w:r>
            <w:r w:rsidR="00D45DDB">
              <w:t>PIU</w:t>
            </w:r>
          </w:p>
        </w:tc>
      </w:tr>
      <w:tr w:rsidR="00CA493C" w:rsidRPr="00FD436F" w14:paraId="62FE8588" w14:textId="77777777" w:rsidTr="009D5AA1">
        <w:trPr>
          <w:trHeight w:val="20"/>
          <w:jc w:val="center"/>
        </w:trPr>
        <w:tc>
          <w:tcPr>
            <w:tcW w:w="14742" w:type="dxa"/>
            <w:gridSpan w:val="4"/>
            <w:shd w:val="clear" w:color="auto" w:fill="F4B083" w:themeFill="accent2" w:themeFillTint="99"/>
          </w:tcPr>
          <w:p w14:paraId="0DED4862" w14:textId="312E88B5" w:rsidR="00CA493C" w:rsidRPr="00FD436F" w:rsidRDefault="00CA493C" w:rsidP="00F83C0B">
            <w:pPr>
              <w:pStyle w:val="ESSHeading"/>
            </w:pPr>
            <w:r w:rsidRPr="00FD436F">
              <w:rPr>
                <w:shd w:val="clear" w:color="auto" w:fill="F4B083" w:themeFill="accent2" w:themeFillTint="99"/>
              </w:rPr>
              <w:t>ESS4: Community Health and Safety</w:t>
            </w:r>
          </w:p>
        </w:tc>
      </w:tr>
      <w:tr w:rsidR="006509FD" w:rsidRPr="00FD436F" w14:paraId="3FF9BF30" w14:textId="77777777" w:rsidTr="009D5AA1">
        <w:trPr>
          <w:trHeight w:val="20"/>
          <w:jc w:val="center"/>
        </w:trPr>
        <w:tc>
          <w:tcPr>
            <w:tcW w:w="737" w:type="dxa"/>
          </w:tcPr>
          <w:p w14:paraId="385F0FBC" w14:textId="7123FBF0" w:rsidR="006509FD" w:rsidRPr="00223B4B" w:rsidRDefault="006509FD" w:rsidP="00FB27EF">
            <w:pPr>
              <w:pStyle w:val="Tableauparagraphe"/>
              <w:rPr>
                <w:iCs/>
              </w:rPr>
            </w:pPr>
            <w:r w:rsidRPr="00A114A9">
              <w:t>4.1</w:t>
            </w:r>
          </w:p>
        </w:tc>
        <w:tc>
          <w:tcPr>
            <w:tcW w:w="6307" w:type="dxa"/>
          </w:tcPr>
          <w:p w14:paraId="0C852904" w14:textId="70B81014" w:rsidR="006509FD" w:rsidRPr="00A114A9" w:rsidRDefault="0097263C" w:rsidP="00FB27EF">
            <w:pPr>
              <w:pStyle w:val="HeadingMeasure"/>
            </w:pPr>
            <w:r w:rsidRPr="00A114A9">
              <w:t>COVID-19 PREVENTION MEASURES</w:t>
            </w:r>
          </w:p>
          <w:p w14:paraId="31EB643B" w14:textId="166D7567" w:rsidR="006509FD" w:rsidRPr="00A114A9" w:rsidRDefault="006509FD" w:rsidP="00A114A9">
            <w:pPr>
              <w:autoSpaceDE w:val="0"/>
              <w:autoSpaceDN w:val="0"/>
              <w:adjustRightInd w:val="0"/>
              <w:rPr>
                <w:rFonts w:ascii="Calibri" w:hAnsi="Calibri" w:cs="Calibri"/>
              </w:rPr>
            </w:pPr>
            <w:r w:rsidRPr="00A114A9">
              <w:rPr>
                <w:rFonts w:cstheme="minorHAnsi"/>
              </w:rPr>
              <w:t xml:space="preserve">The </w:t>
            </w:r>
            <w:r w:rsidRPr="00A114A9">
              <w:rPr>
                <w:rFonts w:cstheme="minorHAnsi"/>
                <w:i/>
                <w:iCs/>
              </w:rPr>
              <w:t xml:space="preserve">Recipient </w:t>
            </w:r>
            <w:r w:rsidRPr="00A114A9">
              <w:rPr>
                <w:rFonts w:cstheme="minorHAnsi"/>
              </w:rPr>
              <w:t xml:space="preserve">shall prepare, disclose, consult upon, adopt and ensure the implementation of </w:t>
            </w:r>
            <w:r w:rsidR="007D782D">
              <w:rPr>
                <w:rFonts w:cstheme="minorHAnsi"/>
              </w:rPr>
              <w:t>COVID</w:t>
            </w:r>
            <w:r w:rsidR="0097263C" w:rsidRPr="00A114A9">
              <w:rPr>
                <w:rFonts w:cstheme="minorHAnsi"/>
              </w:rPr>
              <w:t>-19 measures</w:t>
            </w:r>
            <w:r w:rsidR="00FB42DF" w:rsidRPr="00A114A9">
              <w:rPr>
                <w:rFonts w:cstheme="minorHAnsi"/>
              </w:rPr>
              <w:t xml:space="preserve"> prevention</w:t>
            </w:r>
            <w:r w:rsidRPr="00A114A9">
              <w:rPr>
                <w:rFonts w:cstheme="minorHAnsi"/>
              </w:rPr>
              <w:t xml:space="preserve"> plans</w:t>
            </w:r>
            <w:r w:rsidR="005D7E1F" w:rsidRPr="00A114A9">
              <w:rPr>
                <w:rFonts w:cstheme="minorHAnsi"/>
              </w:rPr>
              <w:t xml:space="preserve"> (awareness meetings, wash kits</w:t>
            </w:r>
            <w:r w:rsidR="00AE4236" w:rsidRPr="00A114A9">
              <w:rPr>
                <w:rFonts w:cstheme="minorHAnsi"/>
              </w:rPr>
              <w:t>, social distanc</w:t>
            </w:r>
            <w:r w:rsidR="0070517F" w:rsidRPr="00A114A9">
              <w:rPr>
                <w:rFonts w:cstheme="minorHAnsi"/>
              </w:rPr>
              <w:t>ing</w:t>
            </w:r>
            <w:r w:rsidR="008F5AB9" w:rsidRPr="00A114A9">
              <w:rPr>
                <w:rFonts w:cstheme="minorHAnsi"/>
              </w:rPr>
              <w:t>,</w:t>
            </w:r>
            <w:r w:rsidR="00C35604" w:rsidRPr="00A114A9">
              <w:rPr>
                <w:rFonts w:cstheme="minorHAnsi"/>
              </w:rPr>
              <w:t xml:space="preserve"> respect of </w:t>
            </w:r>
            <w:r w:rsidR="00C35604" w:rsidRPr="00223B4B">
              <w:rPr>
                <w:rFonts w:ascii="Calibri" w:hAnsi="Calibri" w:cs="Calibri"/>
              </w:rPr>
              <w:t>hygiene and good practice rules</w:t>
            </w:r>
            <w:r w:rsidR="00DE67D7" w:rsidRPr="007343BB">
              <w:rPr>
                <w:rFonts w:ascii="Calibri" w:hAnsi="Calibri" w:cs="Calibri"/>
              </w:rPr>
              <w:t xml:space="preserve"> when using small-scale surgical equipment when providing care to some</w:t>
            </w:r>
            <w:r w:rsidR="00D905B7" w:rsidRPr="009403C1">
              <w:rPr>
                <w:rFonts w:ascii="Calibri" w:hAnsi="Calibri" w:cs="Calibri"/>
              </w:rPr>
              <w:t xml:space="preserve"> </w:t>
            </w:r>
            <w:r w:rsidR="00DE67D7" w:rsidRPr="009403C1">
              <w:rPr>
                <w:rFonts w:ascii="Calibri" w:hAnsi="Calibri" w:cs="Calibri"/>
              </w:rPr>
              <w:t>people with infectious diseases</w:t>
            </w:r>
            <w:r w:rsidR="00AD35D8" w:rsidRPr="009403C1">
              <w:rPr>
                <w:rFonts w:ascii="Calibri" w:hAnsi="Calibri" w:cs="Calibri"/>
              </w:rPr>
              <w:t xml:space="preserve">, management of waste </w:t>
            </w:r>
            <w:r w:rsidR="00B4357C" w:rsidRPr="009403C1">
              <w:rPr>
                <w:rFonts w:ascii="Calibri" w:hAnsi="Calibri" w:cs="Calibri"/>
              </w:rPr>
              <w:t>from</w:t>
            </w:r>
            <w:r w:rsidR="003D18E1" w:rsidRPr="00E37057">
              <w:rPr>
                <w:rFonts w:ascii="Calibri" w:hAnsi="Calibri" w:cs="Calibri"/>
              </w:rPr>
              <w:t xml:space="preserve"> works</w:t>
            </w:r>
            <w:r w:rsidR="003D18E1" w:rsidRPr="00CF297E">
              <w:rPr>
                <w:rFonts w:ascii="Calibri" w:hAnsi="Calibri" w:cs="Calibri"/>
              </w:rPr>
              <w:t xml:space="preserve"> and</w:t>
            </w:r>
            <w:r w:rsidR="00B4357C" w:rsidRPr="00CF297E">
              <w:rPr>
                <w:rFonts w:ascii="Calibri" w:hAnsi="Calibri" w:cs="Calibri"/>
              </w:rPr>
              <w:t xml:space="preserve"> communities,</w:t>
            </w:r>
            <w:r w:rsidR="008F5AB9" w:rsidRPr="00A114A9">
              <w:rPr>
                <w:rFonts w:cstheme="minorHAnsi"/>
              </w:rPr>
              <w:t xml:space="preserve"> etc.)</w:t>
            </w:r>
            <w:r w:rsidRPr="00A114A9">
              <w:rPr>
                <w:rFonts w:cstheme="minorHAnsi"/>
              </w:rPr>
              <w:t xml:space="preserve">, particularly </w:t>
            </w:r>
            <w:r w:rsidR="00817866" w:rsidRPr="00A114A9">
              <w:rPr>
                <w:rFonts w:cstheme="minorHAnsi"/>
              </w:rPr>
              <w:t>health</w:t>
            </w:r>
            <w:r w:rsidRPr="00A114A9">
              <w:rPr>
                <w:rFonts w:cstheme="minorHAnsi"/>
              </w:rPr>
              <w:t xml:space="preserve"> plans for on-site during construction/refurbishment works</w:t>
            </w:r>
            <w:r w:rsidR="004D5FEB" w:rsidRPr="00A114A9">
              <w:rPr>
                <w:rFonts w:cstheme="minorHAnsi"/>
              </w:rPr>
              <w:t>, training sessions and events</w:t>
            </w:r>
            <w:r w:rsidRPr="00A114A9">
              <w:rPr>
                <w:rFonts w:cstheme="minorHAnsi"/>
              </w:rPr>
              <w:t xml:space="preserve"> in accordance with the ESMPs.</w:t>
            </w:r>
          </w:p>
        </w:tc>
        <w:tc>
          <w:tcPr>
            <w:tcW w:w="3803" w:type="dxa"/>
          </w:tcPr>
          <w:p w14:paraId="2E710978" w14:textId="11938500" w:rsidR="006509FD" w:rsidRPr="00223B4B" w:rsidRDefault="006509FD" w:rsidP="00FB27EF">
            <w:pPr>
              <w:pStyle w:val="Tableauparagraphe"/>
            </w:pPr>
            <w:r w:rsidRPr="00A114A9">
              <w:t>Prior to commencement of</w:t>
            </w:r>
            <w:r w:rsidRPr="00A114A9" w:rsidDel="00485A5B">
              <w:t xml:space="preserve"> </w:t>
            </w:r>
            <w:r w:rsidR="00550C43" w:rsidRPr="00A114A9">
              <w:t xml:space="preserve">activities related to </w:t>
            </w:r>
            <w:r w:rsidRPr="00A114A9">
              <w:t>civils works,</w:t>
            </w:r>
            <w:r w:rsidR="004D5FEB" w:rsidRPr="00A114A9">
              <w:t xml:space="preserve"> tra</w:t>
            </w:r>
            <w:r w:rsidR="00550C43" w:rsidRPr="00A114A9">
              <w:t>inings, events</w:t>
            </w:r>
            <w:r w:rsidRPr="00A114A9">
              <w:t xml:space="preserve"> and thereafter implemented throughout Project implementation</w:t>
            </w:r>
          </w:p>
        </w:tc>
        <w:tc>
          <w:tcPr>
            <w:tcW w:w="3895" w:type="dxa"/>
          </w:tcPr>
          <w:p w14:paraId="676244E4" w14:textId="57919C31" w:rsidR="006509FD" w:rsidRPr="00223B4B" w:rsidRDefault="006509FD" w:rsidP="00281D47">
            <w:pPr>
              <w:pStyle w:val="Tableauparagraphe"/>
              <w:rPr>
                <w:iCs/>
              </w:rPr>
            </w:pPr>
            <w:r w:rsidRPr="00A114A9">
              <w:t>M</w:t>
            </w:r>
            <w:r w:rsidR="008756CC" w:rsidRPr="00A114A9">
              <w:t>EPC</w:t>
            </w:r>
            <w:r w:rsidRPr="00A114A9">
              <w:t xml:space="preserve">/ </w:t>
            </w:r>
            <w:r w:rsidR="00D45DDB">
              <w:t>PIU</w:t>
            </w:r>
            <w:r w:rsidRPr="00A114A9">
              <w:t xml:space="preserve"> </w:t>
            </w:r>
          </w:p>
        </w:tc>
      </w:tr>
      <w:tr w:rsidR="00AC522E" w:rsidRPr="00FD436F" w14:paraId="1068CE84" w14:textId="77777777" w:rsidTr="009D5AA1">
        <w:trPr>
          <w:trHeight w:val="20"/>
          <w:jc w:val="center"/>
        </w:trPr>
        <w:tc>
          <w:tcPr>
            <w:tcW w:w="737" w:type="dxa"/>
          </w:tcPr>
          <w:p w14:paraId="57713C92" w14:textId="6E582914" w:rsidR="00AC522E" w:rsidRPr="00A114A9" w:rsidRDefault="00AC522E" w:rsidP="00FB27EF">
            <w:pPr>
              <w:pStyle w:val="Tableauparagraphe"/>
            </w:pPr>
            <w:r w:rsidRPr="00A114A9">
              <w:t>4.2</w:t>
            </w:r>
          </w:p>
        </w:tc>
        <w:tc>
          <w:tcPr>
            <w:tcW w:w="6307" w:type="dxa"/>
          </w:tcPr>
          <w:p w14:paraId="6651BBAB" w14:textId="3C26E672" w:rsidR="00AC522E" w:rsidRPr="00A114A9" w:rsidRDefault="00AC522E" w:rsidP="00355A40">
            <w:pPr>
              <w:pStyle w:val="HeadingMeasure"/>
            </w:pPr>
            <w:r w:rsidRPr="00A114A9">
              <w:t>TRAFFIC AND ROAD SAFETY</w:t>
            </w:r>
          </w:p>
          <w:p w14:paraId="2E2D8A07" w14:textId="1B0BE79E" w:rsidR="00AC522E" w:rsidRPr="00A114A9" w:rsidRDefault="00AC522E" w:rsidP="00355A40">
            <w:pPr>
              <w:pStyle w:val="Tableauparagraphe"/>
            </w:pPr>
            <w:r w:rsidRPr="00A114A9">
              <w:t xml:space="preserve">The </w:t>
            </w:r>
            <w:r w:rsidRPr="00A114A9">
              <w:rPr>
                <w:i/>
                <w:iCs/>
              </w:rPr>
              <w:t xml:space="preserve">Recipient </w:t>
            </w:r>
            <w:r w:rsidRPr="00A114A9">
              <w:t>shall prepare, disclose, consult upon, adopt and ensure the implementation of road safety plans, particularly traffic plans for on-site machinery during construction/refurbishment works</w:t>
            </w:r>
            <w:r w:rsidR="00754510" w:rsidRPr="00A114A9">
              <w:t xml:space="preserve"> (VETLs, </w:t>
            </w:r>
            <w:r w:rsidR="007343BB" w:rsidRPr="00A114A9">
              <w:t>Safety Spaces, School toilets)</w:t>
            </w:r>
            <w:r w:rsidRPr="00A114A9">
              <w:t xml:space="preserve"> in accordance with the ESMPs.</w:t>
            </w:r>
          </w:p>
        </w:tc>
        <w:tc>
          <w:tcPr>
            <w:tcW w:w="3803" w:type="dxa"/>
          </w:tcPr>
          <w:p w14:paraId="2414F1FB" w14:textId="6569FCD7" w:rsidR="00AC522E" w:rsidRPr="00A114A9" w:rsidRDefault="00AC522E" w:rsidP="00FB27EF">
            <w:pPr>
              <w:pStyle w:val="Tableauparagraphe"/>
            </w:pPr>
            <w:r w:rsidRPr="00A114A9">
              <w:t>Prior to commencement of</w:t>
            </w:r>
            <w:r w:rsidRPr="00A114A9" w:rsidDel="00485A5B">
              <w:t xml:space="preserve"> </w:t>
            </w:r>
            <w:r w:rsidRPr="00A114A9">
              <w:t>civils works, and thereafter implemented throughout Project implementation</w:t>
            </w:r>
          </w:p>
        </w:tc>
        <w:tc>
          <w:tcPr>
            <w:tcW w:w="3895" w:type="dxa"/>
          </w:tcPr>
          <w:p w14:paraId="5293EFF1" w14:textId="0821DAA6" w:rsidR="00AC522E" w:rsidRPr="00A114A9" w:rsidRDefault="00AC522E" w:rsidP="00281D47">
            <w:pPr>
              <w:pStyle w:val="Tableauparagraphe"/>
            </w:pPr>
            <w:r w:rsidRPr="00A114A9">
              <w:t xml:space="preserve">MEPC/ </w:t>
            </w:r>
            <w:r w:rsidR="00D45DDB">
              <w:t>PIU</w:t>
            </w:r>
            <w:r w:rsidRPr="00A114A9">
              <w:t xml:space="preserve"> </w:t>
            </w:r>
          </w:p>
        </w:tc>
      </w:tr>
      <w:tr w:rsidR="006509FD" w:rsidRPr="00FD436F" w14:paraId="39FBD9AD" w14:textId="77777777" w:rsidTr="009D5AA1">
        <w:trPr>
          <w:trHeight w:val="20"/>
          <w:jc w:val="center"/>
        </w:trPr>
        <w:tc>
          <w:tcPr>
            <w:tcW w:w="737" w:type="dxa"/>
          </w:tcPr>
          <w:p w14:paraId="5A14DF74" w14:textId="1D37C485" w:rsidR="006509FD" w:rsidRPr="00451105" w:rsidRDefault="006509FD" w:rsidP="00355A40">
            <w:pPr>
              <w:pStyle w:val="Tableauparagraphe"/>
              <w:rPr>
                <w:iCs/>
              </w:rPr>
            </w:pPr>
            <w:r w:rsidRPr="00A114A9">
              <w:t>4.</w:t>
            </w:r>
            <w:r w:rsidR="00AC522E" w:rsidRPr="00A114A9">
              <w:t>3</w:t>
            </w:r>
          </w:p>
        </w:tc>
        <w:tc>
          <w:tcPr>
            <w:tcW w:w="6307" w:type="dxa"/>
          </w:tcPr>
          <w:p w14:paraId="089397D5" w14:textId="22B2D0A3" w:rsidR="006509FD" w:rsidRPr="00FB27EF" w:rsidRDefault="006509FD" w:rsidP="00FB27EF">
            <w:pPr>
              <w:pStyle w:val="HeadingMeasure"/>
            </w:pPr>
            <w:r w:rsidRPr="00FB27EF">
              <w:t>COMMUNITY HEALTH AND SAFETY</w:t>
            </w:r>
          </w:p>
          <w:p w14:paraId="798AFEE6" w14:textId="77777777" w:rsidR="007A3225" w:rsidRDefault="006509FD" w:rsidP="007A3225">
            <w:pPr>
              <w:pStyle w:val="Tableauparagraphe"/>
            </w:pPr>
            <w:r w:rsidRPr="00FB27EF">
              <w:t xml:space="preserve">The Recipient shall prepare, disclose, consult upon, adopt and thereafter ensure the implementation of measures and actions related to community health and safety as set out in the ESMPs in a manner acceptable to the </w:t>
            </w:r>
            <w:r w:rsidR="008503C4" w:rsidRPr="00FB27EF">
              <w:t>World Bank.</w:t>
            </w:r>
            <w:r w:rsidR="007A3225" w:rsidRPr="007A3225">
              <w:t xml:space="preserve">  </w:t>
            </w:r>
          </w:p>
          <w:p w14:paraId="6DCD432C" w14:textId="6461AF72" w:rsidR="006509FD" w:rsidRPr="00FB27EF" w:rsidRDefault="007A3225" w:rsidP="007A3225">
            <w:pPr>
              <w:pStyle w:val="Tableauparagraphe"/>
            </w:pPr>
            <w:r w:rsidRPr="00A114A9">
              <w:t xml:space="preserve">Site specific ESMPs to be developed prior to any construction works shall include measures related to resource efficiency and pollution prevention and management. It shall also comprise if relevant, measures to response to COVID-19 issue. The ESMF shall include </w:t>
            </w:r>
            <w:r w:rsidRPr="00A114A9">
              <w:lastRenderedPageBreak/>
              <w:t>measures to ensure that works to be carried out under the project would not cause adverse impacts to other users, with special attention to be paid to avoid any negative impact and conflict resulting from the use of the water.</w:t>
            </w:r>
          </w:p>
        </w:tc>
        <w:tc>
          <w:tcPr>
            <w:tcW w:w="3803" w:type="dxa"/>
          </w:tcPr>
          <w:p w14:paraId="744502F6" w14:textId="77777777" w:rsidR="006509FD" w:rsidRPr="00A114A9" w:rsidRDefault="006509FD" w:rsidP="00FB27EF">
            <w:pPr>
              <w:pStyle w:val="Tableauparagraphe"/>
            </w:pPr>
            <w:r w:rsidRPr="00A114A9">
              <w:lastRenderedPageBreak/>
              <w:t>Prior to commencement of</w:t>
            </w:r>
            <w:r w:rsidRPr="00A114A9" w:rsidDel="00485A5B">
              <w:t xml:space="preserve"> </w:t>
            </w:r>
            <w:r w:rsidRPr="00A114A9">
              <w:t>civils works, and thereafter implemented throughout Project implementation</w:t>
            </w:r>
            <w:r w:rsidRPr="00A114A9" w:rsidDel="00485A5B">
              <w:t xml:space="preserve"> </w:t>
            </w:r>
          </w:p>
          <w:p w14:paraId="7696ED9C" w14:textId="212DE9F3" w:rsidR="006509FD" w:rsidRPr="00451105" w:rsidRDefault="006509FD" w:rsidP="00FB27EF">
            <w:pPr>
              <w:pStyle w:val="Tableauparagraphe"/>
            </w:pPr>
            <w:r w:rsidRPr="00A114A9">
              <w:t xml:space="preserve">The Health and Safety Plans shall be elaborated by the Contractors, validated at national level and approved by the </w:t>
            </w:r>
            <w:r w:rsidR="00474ED2" w:rsidRPr="00A114A9">
              <w:t>World Bank</w:t>
            </w:r>
            <w:r w:rsidRPr="00A114A9">
              <w:t xml:space="preserve"> before work begins on the sites and shall be </w:t>
            </w:r>
            <w:r w:rsidRPr="00A114A9">
              <w:lastRenderedPageBreak/>
              <w:t>executed and monitored throughout the implementation of the work.</w:t>
            </w:r>
          </w:p>
        </w:tc>
        <w:tc>
          <w:tcPr>
            <w:tcW w:w="3895" w:type="dxa"/>
          </w:tcPr>
          <w:p w14:paraId="172678FA" w14:textId="15CDC1D0" w:rsidR="006509FD" w:rsidRPr="00451105" w:rsidRDefault="008756CC" w:rsidP="00281D47">
            <w:pPr>
              <w:pStyle w:val="Tableauparagraphe"/>
              <w:rPr>
                <w:iCs/>
              </w:rPr>
            </w:pPr>
            <w:r w:rsidRPr="00A114A9">
              <w:lastRenderedPageBreak/>
              <w:t xml:space="preserve">MEPC/ </w:t>
            </w:r>
            <w:r w:rsidR="00D45DDB">
              <w:t>PIU</w:t>
            </w:r>
          </w:p>
        </w:tc>
      </w:tr>
      <w:tr w:rsidR="006509FD" w:rsidRPr="00FD436F" w14:paraId="100214CE" w14:textId="77777777" w:rsidTr="009D5AA1">
        <w:trPr>
          <w:trHeight w:val="20"/>
          <w:jc w:val="center"/>
        </w:trPr>
        <w:tc>
          <w:tcPr>
            <w:tcW w:w="737" w:type="dxa"/>
          </w:tcPr>
          <w:p w14:paraId="3A81FFE9" w14:textId="28A4A4AF" w:rsidR="006509FD" w:rsidRPr="00CE3D21" w:rsidRDefault="006509FD" w:rsidP="004B2920">
            <w:pPr>
              <w:pStyle w:val="Tableauparagraphe"/>
              <w:rPr>
                <w:iCs/>
              </w:rPr>
            </w:pPr>
            <w:r w:rsidRPr="00A114A9">
              <w:t>4.</w:t>
            </w:r>
            <w:r w:rsidR="00AC522E" w:rsidRPr="00A114A9">
              <w:t>4</w:t>
            </w:r>
          </w:p>
        </w:tc>
        <w:tc>
          <w:tcPr>
            <w:tcW w:w="6307" w:type="dxa"/>
          </w:tcPr>
          <w:p w14:paraId="7E9A3237" w14:textId="7441F3AB" w:rsidR="006509FD" w:rsidRPr="00A114A9" w:rsidRDefault="006509FD" w:rsidP="00355A40">
            <w:pPr>
              <w:pStyle w:val="HeadingMeasure"/>
            </w:pPr>
            <w:r w:rsidRPr="00A114A9">
              <w:t>SEA/ SH ASSESSMENT AND RISK MANAGEMENT</w:t>
            </w:r>
          </w:p>
          <w:p w14:paraId="23AD33D3" w14:textId="665E4F22" w:rsidR="006509FD" w:rsidRPr="00A114A9" w:rsidRDefault="006509FD" w:rsidP="007D782D">
            <w:pPr>
              <w:pStyle w:val="Tableauparagraphe"/>
            </w:pPr>
            <w:r w:rsidRPr="00A114A9">
              <w:t xml:space="preserve">The risk screening carried out by the team indicated that SEA/SH risk is high. In addition to the country context, preliminary risks identified specific to the project relate to: (i) the lack of training programs on SEA/SH prevention, management, and response to </w:t>
            </w:r>
            <w:r w:rsidR="005E0AC9">
              <w:t xml:space="preserve">social, </w:t>
            </w:r>
            <w:r w:rsidRPr="00A114A9">
              <w:t>education</w:t>
            </w:r>
            <w:r w:rsidR="00A86403">
              <w:t xml:space="preserve"> and health</w:t>
            </w:r>
            <w:r w:rsidRPr="00A114A9">
              <w:t xml:space="preserve"> sector </w:t>
            </w:r>
            <w:r w:rsidR="005E0AC9" w:rsidRPr="005E0AC9">
              <w:t>personnel</w:t>
            </w:r>
            <w:r w:rsidR="005E0AC9">
              <w:t>’s</w:t>
            </w:r>
            <w:r w:rsidRPr="00A114A9">
              <w:t>; (ii) the lack of protocol for the identification and care of students affected by SEA/SH for the whole education system</w:t>
            </w:r>
            <w:r w:rsidR="00CD0FE6">
              <w:t xml:space="preserve"> and especially in vocational training centers</w:t>
            </w:r>
            <w:r w:rsidRPr="00A114A9">
              <w:t>; (iii) the insufficiency of initiatives in schools</w:t>
            </w:r>
            <w:r w:rsidR="00551BDB">
              <w:t>/VETLs</w:t>
            </w:r>
            <w:r w:rsidRPr="00A114A9">
              <w:t xml:space="preserve"> to raise awareness around SEA/SH; and (v) the lack of institutional codes of conduct for </w:t>
            </w:r>
            <w:r w:rsidR="00047464">
              <w:t>hea</w:t>
            </w:r>
            <w:r w:rsidR="00121165">
              <w:t>lth, community and education workers</w:t>
            </w:r>
            <w:r w:rsidRPr="00A114A9">
              <w:t xml:space="preserve"> and administrative staff that include prohibitions against SEA/SH for the entire </w:t>
            </w:r>
            <w:r w:rsidR="00824122">
              <w:t>institution</w:t>
            </w:r>
            <w:r w:rsidRPr="00A114A9">
              <w:t xml:space="preserve"> system</w:t>
            </w:r>
            <w:r w:rsidR="00824122">
              <w:t xml:space="preserve"> (health, social, education, etc.</w:t>
            </w:r>
            <w:r w:rsidR="001061BC">
              <w:t>)</w:t>
            </w:r>
            <w:r w:rsidRPr="00A114A9">
              <w:t xml:space="preserve">. This analysis should be completed to include (but not limited to) the following areas: SEA of women and girls by men working on the project; SEA of girls in </w:t>
            </w:r>
            <w:r w:rsidR="00A90A1C">
              <w:t>VETLs/</w:t>
            </w:r>
            <w:r w:rsidRPr="00A114A9">
              <w:t>schools; gender dimensions and increased risks of child marriage in the context of COVID-19; GBV services in the CAR.</w:t>
            </w:r>
          </w:p>
          <w:p w14:paraId="2843513B" w14:textId="40A804BE" w:rsidR="006509FD" w:rsidRPr="007B159F" w:rsidRDefault="006509FD" w:rsidP="00355A40">
            <w:pPr>
              <w:pStyle w:val="Tableauparagraphe"/>
              <w:rPr>
                <w:iCs/>
              </w:rPr>
            </w:pPr>
            <w:r w:rsidRPr="00A114A9">
              <w:t xml:space="preserve">The </w:t>
            </w:r>
            <w:r w:rsidRPr="00355A40">
              <w:rPr>
                <w:i/>
                <w:iCs/>
              </w:rPr>
              <w:t xml:space="preserve">Recipient </w:t>
            </w:r>
            <w:r w:rsidRPr="00A114A9">
              <w:t>shall prepare a thorough SEA/SH assessment and associated Action Plan containing SEA/SH sensitization, prevention and risk mitigation measures, including, inter alia, budget allocated to implement those measures, a standard code of conduct to be signed by employees, Grievance Mechanism procedures specific to dealing confidentially and safely with SEA/SH allegations, and details on SEA/SH awareness campaigns for all Project stakeholders.</w:t>
            </w:r>
          </w:p>
        </w:tc>
        <w:tc>
          <w:tcPr>
            <w:tcW w:w="3803" w:type="dxa"/>
          </w:tcPr>
          <w:p w14:paraId="39901821" w14:textId="41EB2046" w:rsidR="006509FD" w:rsidRPr="00CE3D21" w:rsidRDefault="006509FD" w:rsidP="00355A40">
            <w:pPr>
              <w:pStyle w:val="Tableauparagraphe"/>
              <w:rPr>
                <w:iCs/>
              </w:rPr>
            </w:pPr>
            <w:r w:rsidRPr="00A114A9">
              <w:t xml:space="preserve">SEA/SH Assessment and Action Plan </w:t>
            </w:r>
            <w:r w:rsidR="00451105" w:rsidRPr="00A114A9">
              <w:t>to be</w:t>
            </w:r>
            <w:r w:rsidRPr="00A114A9">
              <w:t xml:space="preserve"> prepared prior to the start of Appraisal and implemented throughout Project implementation.</w:t>
            </w:r>
          </w:p>
        </w:tc>
        <w:tc>
          <w:tcPr>
            <w:tcW w:w="3895" w:type="dxa"/>
          </w:tcPr>
          <w:p w14:paraId="67FA7FB4" w14:textId="1191022F" w:rsidR="006509FD" w:rsidRPr="00CE3D21" w:rsidRDefault="008756CC" w:rsidP="00355A40">
            <w:pPr>
              <w:pStyle w:val="Tableauparagraphe"/>
              <w:rPr>
                <w:iCs/>
              </w:rPr>
            </w:pPr>
            <w:r w:rsidRPr="00A114A9">
              <w:t xml:space="preserve">MEPC/ </w:t>
            </w:r>
            <w:r w:rsidR="00D45DDB">
              <w:t>PIU</w:t>
            </w:r>
          </w:p>
        </w:tc>
      </w:tr>
      <w:tr w:rsidR="00355A40" w:rsidRPr="00FD436F" w14:paraId="4ADF980A" w14:textId="77777777" w:rsidTr="009D5AA1">
        <w:trPr>
          <w:trHeight w:val="20"/>
          <w:jc w:val="center"/>
        </w:trPr>
        <w:tc>
          <w:tcPr>
            <w:tcW w:w="737" w:type="dxa"/>
          </w:tcPr>
          <w:p w14:paraId="754A1474" w14:textId="77777777" w:rsidR="00355A40" w:rsidRPr="00A114A9" w:rsidRDefault="00355A40" w:rsidP="004B2920">
            <w:pPr>
              <w:pStyle w:val="Tableauparagraphe"/>
              <w:rPr>
                <w:rFonts w:cstheme="minorHAnsi"/>
              </w:rPr>
            </w:pPr>
          </w:p>
        </w:tc>
        <w:tc>
          <w:tcPr>
            <w:tcW w:w="6307" w:type="dxa"/>
          </w:tcPr>
          <w:p w14:paraId="35FFAF8F" w14:textId="167FD200" w:rsidR="00355A40" w:rsidRPr="00355A40" w:rsidRDefault="00355A40" w:rsidP="00355A40">
            <w:pPr>
              <w:pStyle w:val="Tableauparagraphe"/>
            </w:pPr>
            <w:r w:rsidRPr="00A114A9">
              <w:t xml:space="preserve">The </w:t>
            </w:r>
            <w:r w:rsidRPr="00A114A9">
              <w:rPr>
                <w:i/>
                <w:iCs/>
              </w:rPr>
              <w:t xml:space="preserve">Recipient </w:t>
            </w:r>
            <w:r w:rsidRPr="00A114A9">
              <w:t>shall ensure that all tender documents, work or service contracts, including consultancy services under the Project, require suppliers/vendors, subcontractors or consultants to adopt a code of conduct to be signed by all employees as well as</w:t>
            </w:r>
            <w:r>
              <w:t xml:space="preserve"> health and community workers,</w:t>
            </w:r>
            <w:r w:rsidRPr="00A114A9">
              <w:t xml:space="preserve"> teachers and school</w:t>
            </w:r>
            <w:r>
              <w:t>/VETLs</w:t>
            </w:r>
            <w:r w:rsidRPr="00A114A9">
              <w:t xml:space="preserve"> employees and an associated training plan. The code of conduct shall be binding on all contracts or services, including consultancy services, ordered or delivered under the said contracts, and shall cover SEA/SH and violence against children. In addition, awareness-raising/training sessions on the code of conduct shall be organized throughout the implementation of the project.</w:t>
            </w:r>
          </w:p>
        </w:tc>
        <w:tc>
          <w:tcPr>
            <w:tcW w:w="3803" w:type="dxa"/>
          </w:tcPr>
          <w:p w14:paraId="2CFEDFE3" w14:textId="5B14A42C" w:rsidR="00355A40" w:rsidRPr="00A114A9" w:rsidRDefault="00355A40" w:rsidP="006509FD">
            <w:pPr>
              <w:rPr>
                <w:rFonts w:cstheme="minorHAnsi"/>
                <w:i/>
                <w:iCs/>
              </w:rPr>
            </w:pPr>
            <w:r w:rsidRPr="00A114A9">
              <w:rPr>
                <w:rFonts w:cstheme="minorHAnsi"/>
              </w:rPr>
              <w:t>Throughout Project implementation</w:t>
            </w:r>
          </w:p>
        </w:tc>
        <w:tc>
          <w:tcPr>
            <w:tcW w:w="3895" w:type="dxa"/>
          </w:tcPr>
          <w:p w14:paraId="48DFC043" w14:textId="77777777" w:rsidR="00355A40" w:rsidRPr="00A114A9" w:rsidRDefault="00355A40" w:rsidP="006509FD">
            <w:pPr>
              <w:keepLines/>
              <w:widowControl w:val="0"/>
              <w:jc w:val="both"/>
              <w:rPr>
                <w:rFonts w:cstheme="minorHAnsi"/>
              </w:rPr>
            </w:pPr>
          </w:p>
        </w:tc>
      </w:tr>
      <w:tr w:rsidR="006509FD" w:rsidRPr="00FD436F" w14:paraId="2EAC13EC" w14:textId="77777777" w:rsidTr="009D5AA1">
        <w:trPr>
          <w:trHeight w:val="20"/>
          <w:jc w:val="center"/>
        </w:trPr>
        <w:tc>
          <w:tcPr>
            <w:tcW w:w="737" w:type="dxa"/>
          </w:tcPr>
          <w:p w14:paraId="13BD5B72" w14:textId="154038CA" w:rsidR="006509FD" w:rsidRPr="00C373F5" w:rsidRDefault="006509FD" w:rsidP="004B2920">
            <w:pPr>
              <w:pStyle w:val="Tableauparagraphe"/>
              <w:rPr>
                <w:rFonts w:cstheme="minorHAnsi"/>
                <w:iCs/>
              </w:rPr>
            </w:pPr>
            <w:r w:rsidRPr="00A114A9">
              <w:rPr>
                <w:rFonts w:cstheme="minorHAnsi"/>
              </w:rPr>
              <w:t>4.</w:t>
            </w:r>
            <w:r w:rsidR="00AC522E" w:rsidRPr="00A114A9">
              <w:rPr>
                <w:rFonts w:cstheme="minorHAnsi"/>
              </w:rPr>
              <w:t>5</w:t>
            </w:r>
          </w:p>
        </w:tc>
        <w:tc>
          <w:tcPr>
            <w:tcW w:w="6307" w:type="dxa"/>
          </w:tcPr>
          <w:p w14:paraId="19EFFE57" w14:textId="39764760" w:rsidR="006509FD" w:rsidRPr="00A114A9" w:rsidRDefault="006509FD" w:rsidP="00355A40">
            <w:pPr>
              <w:pStyle w:val="HeadingMeasure"/>
            </w:pPr>
            <w:r w:rsidRPr="00A114A9">
              <w:t>SECURITY MANAGEMENT</w:t>
            </w:r>
          </w:p>
          <w:p w14:paraId="26FD1F68" w14:textId="6930045A" w:rsidR="006509FD" w:rsidRPr="00A114A9" w:rsidRDefault="006509FD" w:rsidP="007D782D">
            <w:pPr>
              <w:pStyle w:val="Tableauparagraphe"/>
            </w:pPr>
            <w:r w:rsidRPr="00A114A9">
              <w:t xml:space="preserve">Given that the project shall operate across the country including in areas where there is presence of active Non-state armed groups, the </w:t>
            </w:r>
            <w:r w:rsidRPr="009D5AA1">
              <w:rPr>
                <w:i/>
                <w:iCs/>
              </w:rPr>
              <w:t xml:space="preserve">Recipient </w:t>
            </w:r>
            <w:r w:rsidRPr="00A114A9">
              <w:t xml:space="preserve">shall carry out a security risks assessment and prepare, disclose, consult upon, adopt, and implement a stand-alone Security Management Plan consistent with the requirements of ESS4, </w:t>
            </w:r>
            <w:r w:rsidR="008B1EE9">
              <w:t xml:space="preserve">and </w:t>
            </w:r>
            <w:r w:rsidRPr="00A114A9">
              <w:t xml:space="preserve">in a manner acceptable to the </w:t>
            </w:r>
            <w:r w:rsidR="00B87F0D">
              <w:t>World Bank</w:t>
            </w:r>
            <w:r w:rsidRPr="00A114A9">
              <w:t>. The Security management plan shall include appropriate security risk mitigation measures to protect project workers and beneficiaries.</w:t>
            </w:r>
          </w:p>
          <w:p w14:paraId="6269E9F2" w14:textId="1A8DB35C" w:rsidR="006509FD" w:rsidRPr="00C373F5" w:rsidRDefault="006509FD" w:rsidP="007D782D">
            <w:pPr>
              <w:pStyle w:val="Tableauparagraphe"/>
              <w:rPr>
                <w:iCs/>
              </w:rPr>
            </w:pPr>
            <w:r w:rsidRPr="00A114A9">
              <w:t>In addition, the security screening of sites shall be done prior to commencement of</w:t>
            </w:r>
            <w:r w:rsidR="00133B8D" w:rsidRPr="00A114A9">
              <w:t xml:space="preserve"> project activities</w:t>
            </w:r>
            <w:r w:rsidR="008F437C" w:rsidRPr="00A114A9">
              <w:t xml:space="preserve"> (events, </w:t>
            </w:r>
            <w:r w:rsidRPr="00A114A9">
              <w:t>works</w:t>
            </w:r>
            <w:r w:rsidR="008F437C" w:rsidRPr="00A114A9">
              <w:t>, trainings, etc.</w:t>
            </w:r>
            <w:r w:rsidR="00DB12F3">
              <w:t>)</w:t>
            </w:r>
            <w:r w:rsidRPr="00A114A9">
              <w:t>; and all bidding documents need to include Security Management Plan (SMP) requirements for contractors.</w:t>
            </w:r>
          </w:p>
        </w:tc>
        <w:tc>
          <w:tcPr>
            <w:tcW w:w="3803" w:type="dxa"/>
          </w:tcPr>
          <w:p w14:paraId="1440D856" w14:textId="55EB5A16" w:rsidR="006509FD" w:rsidRPr="00C373F5" w:rsidRDefault="00D4676A" w:rsidP="007D782D">
            <w:pPr>
              <w:pStyle w:val="Tableauparagraphe"/>
              <w:rPr>
                <w:iCs/>
              </w:rPr>
            </w:pPr>
            <w:r>
              <w:t xml:space="preserve">Security Risk </w:t>
            </w:r>
            <w:r w:rsidRPr="00133C1D">
              <w:t xml:space="preserve">Assessment and </w:t>
            </w:r>
            <w:r>
              <w:t>Secur</w:t>
            </w:r>
            <w:r w:rsidR="00DB12F3">
              <w:t xml:space="preserve">ity Management </w:t>
            </w:r>
            <w:r w:rsidRPr="00133C1D">
              <w:t>Plan to be prepared prior to the start of Appraisal and implemented throughout Project implementation.</w:t>
            </w:r>
          </w:p>
        </w:tc>
        <w:tc>
          <w:tcPr>
            <w:tcW w:w="3895" w:type="dxa"/>
          </w:tcPr>
          <w:p w14:paraId="16B8128B" w14:textId="3AC1BDC3" w:rsidR="006509FD" w:rsidRPr="001E0DDF" w:rsidRDefault="008756CC" w:rsidP="006509FD">
            <w:pPr>
              <w:keepLines/>
              <w:widowControl w:val="0"/>
              <w:jc w:val="both"/>
              <w:rPr>
                <w:rFonts w:cstheme="minorHAnsi"/>
                <w:iCs/>
              </w:rPr>
            </w:pPr>
            <w:r>
              <w:rPr>
                <w:rFonts w:cstheme="minorHAnsi"/>
                <w:sz w:val="20"/>
                <w:szCs w:val="20"/>
              </w:rPr>
              <w:t xml:space="preserve">MEPC/ </w:t>
            </w:r>
            <w:r w:rsidR="00D45DDB">
              <w:rPr>
                <w:rFonts w:cstheme="minorHAnsi"/>
                <w:sz w:val="20"/>
                <w:szCs w:val="20"/>
              </w:rPr>
              <w:t>PIU</w:t>
            </w:r>
          </w:p>
        </w:tc>
      </w:tr>
      <w:tr w:rsidR="00CA493C" w:rsidRPr="00FD436F" w14:paraId="61CCF104" w14:textId="77777777" w:rsidTr="009D5AA1">
        <w:trPr>
          <w:trHeight w:val="20"/>
          <w:jc w:val="center"/>
        </w:trPr>
        <w:tc>
          <w:tcPr>
            <w:tcW w:w="14742" w:type="dxa"/>
            <w:gridSpan w:val="4"/>
            <w:shd w:val="clear" w:color="auto" w:fill="F4B083" w:themeFill="accent2" w:themeFillTint="99"/>
          </w:tcPr>
          <w:p w14:paraId="1E37E806" w14:textId="613F6364" w:rsidR="00CA493C" w:rsidRPr="00786E24" w:rsidRDefault="00CA493C" w:rsidP="00F83C0B">
            <w:pPr>
              <w:pStyle w:val="ESSHeading"/>
            </w:pPr>
            <w:r w:rsidRPr="00CC3F79">
              <w:t xml:space="preserve">ESS 5: Land Acquisition, Restrictions on Land Use and Involuntary Resettlement  </w:t>
            </w:r>
          </w:p>
        </w:tc>
      </w:tr>
      <w:tr w:rsidR="009403C1" w:rsidRPr="00FD436F" w14:paraId="561EF3F8" w14:textId="77777777" w:rsidTr="009D5AA1">
        <w:trPr>
          <w:trHeight w:val="20"/>
          <w:jc w:val="center"/>
        </w:trPr>
        <w:tc>
          <w:tcPr>
            <w:tcW w:w="737" w:type="dxa"/>
          </w:tcPr>
          <w:p w14:paraId="5593BC45" w14:textId="5025FA30" w:rsidR="009403C1" w:rsidDel="00996738" w:rsidRDefault="00C82B21" w:rsidP="00355A40">
            <w:pPr>
              <w:pStyle w:val="Tableauparagraphe"/>
            </w:pPr>
            <w:r>
              <w:t>5.1</w:t>
            </w:r>
          </w:p>
        </w:tc>
        <w:tc>
          <w:tcPr>
            <w:tcW w:w="6307" w:type="dxa"/>
          </w:tcPr>
          <w:p w14:paraId="31706B8E" w14:textId="42AF880A" w:rsidR="00E46744" w:rsidRPr="006269B3" w:rsidRDefault="00B368CD" w:rsidP="00355A40">
            <w:pPr>
              <w:pStyle w:val="HeadingMeasure"/>
              <w:rPr>
                <w:bCs/>
              </w:rPr>
            </w:pPr>
            <w:r>
              <w:t>LAND ACQUISITION AND INVOLUNTARY RESETTLEMENT</w:t>
            </w:r>
          </w:p>
          <w:p w14:paraId="3AE412B9" w14:textId="7584659A" w:rsidR="009403C1" w:rsidRPr="001F094E" w:rsidRDefault="00C82B21" w:rsidP="007D782D">
            <w:pPr>
              <w:pStyle w:val="Tableauparagraphe"/>
            </w:pPr>
            <w:r w:rsidRPr="001F094E">
              <w:t xml:space="preserve">ESS5 is not currently relevant to the Project. Land acquisition, Restrictions on Land Use and Involuntary Resettlement due to project activities are not expected. The project will include </w:t>
            </w:r>
            <w:r w:rsidRPr="001F094E">
              <w:lastRenderedPageBreak/>
              <w:t>construction and rehabilitation works for school</w:t>
            </w:r>
            <w:r w:rsidR="00E04DAC" w:rsidRPr="001F094E">
              <w:t xml:space="preserve"> </w:t>
            </w:r>
            <w:r w:rsidRPr="001F094E">
              <w:t>toilets and vocational training centers, but they will be carried within the existing facilities.</w:t>
            </w:r>
          </w:p>
          <w:p w14:paraId="1FAA8932" w14:textId="52409B9C" w:rsidR="000372A7" w:rsidRPr="00A114A9" w:rsidDel="00996738" w:rsidRDefault="000372A7" w:rsidP="007D782D">
            <w:pPr>
              <w:pStyle w:val="Tableauparagraphe"/>
            </w:pPr>
            <w:r w:rsidRPr="00C51C24">
              <w:t xml:space="preserve">Activities that may involve permanent resettlement or land acquisition </w:t>
            </w:r>
            <w:r w:rsidR="00E04DAC" w:rsidRPr="00C51C24">
              <w:t>shall not be financed. The ESMF shall provide guidance on site screening criteria and mitigation measures to ensure that project activities do not alter or cause</w:t>
            </w:r>
            <w:r w:rsidR="009C4063" w:rsidRPr="00C51C24">
              <w:t xml:space="preserve"> resettlement or</w:t>
            </w:r>
            <w:r w:rsidR="00E04DAC" w:rsidRPr="00C51C24">
              <w:t xml:space="preserve"> land acquisition</w:t>
            </w:r>
            <w:r w:rsidR="007D782D">
              <w:t>.</w:t>
            </w:r>
          </w:p>
        </w:tc>
        <w:tc>
          <w:tcPr>
            <w:tcW w:w="3803" w:type="dxa"/>
          </w:tcPr>
          <w:p w14:paraId="6C5E0CBE" w14:textId="35745C6A" w:rsidR="009403C1" w:rsidDel="00996738" w:rsidRDefault="009C4063" w:rsidP="007D782D">
            <w:pPr>
              <w:pStyle w:val="Tableauparagraphe"/>
            </w:pPr>
            <w:r w:rsidRPr="00133C1D">
              <w:lastRenderedPageBreak/>
              <w:t>Prior to commencement of</w:t>
            </w:r>
            <w:r w:rsidRPr="00133C1D" w:rsidDel="00485A5B">
              <w:t xml:space="preserve"> </w:t>
            </w:r>
            <w:r w:rsidRPr="00133C1D">
              <w:t>civil works, and thereafter implemented throughout Project implementation.</w:t>
            </w:r>
          </w:p>
        </w:tc>
        <w:tc>
          <w:tcPr>
            <w:tcW w:w="3895" w:type="dxa"/>
          </w:tcPr>
          <w:p w14:paraId="07DA208A" w14:textId="62DF2C1F" w:rsidR="009403C1" w:rsidDel="00996738" w:rsidRDefault="009403C1" w:rsidP="00996738">
            <w:pPr>
              <w:autoSpaceDE w:val="0"/>
              <w:autoSpaceDN w:val="0"/>
              <w:adjustRightInd w:val="0"/>
              <w:rPr>
                <w:rFonts w:cstheme="minorHAnsi"/>
                <w:iCs/>
              </w:rPr>
            </w:pPr>
            <w:r>
              <w:rPr>
                <w:rFonts w:cstheme="minorHAnsi"/>
                <w:sz w:val="20"/>
                <w:szCs w:val="20"/>
              </w:rPr>
              <w:t xml:space="preserve">MEPC/ </w:t>
            </w:r>
            <w:r w:rsidR="00D45DDB">
              <w:rPr>
                <w:rFonts w:cstheme="minorHAnsi"/>
                <w:sz w:val="20"/>
                <w:szCs w:val="20"/>
              </w:rPr>
              <w:t>PIU</w:t>
            </w:r>
          </w:p>
        </w:tc>
      </w:tr>
      <w:tr w:rsidR="00CA493C" w:rsidRPr="00FD436F" w14:paraId="13B3C840" w14:textId="77777777" w:rsidTr="009D5AA1">
        <w:trPr>
          <w:trHeight w:val="20"/>
          <w:jc w:val="center"/>
        </w:trPr>
        <w:tc>
          <w:tcPr>
            <w:tcW w:w="14742" w:type="dxa"/>
            <w:gridSpan w:val="4"/>
            <w:shd w:val="clear" w:color="auto" w:fill="F4B083" w:themeFill="accent2" w:themeFillTint="99"/>
          </w:tcPr>
          <w:p w14:paraId="7C639764" w14:textId="26AC88E4" w:rsidR="00CA493C" w:rsidRPr="00FD436F" w:rsidRDefault="00CA493C" w:rsidP="00F83C0B">
            <w:pPr>
              <w:pStyle w:val="ESSHeading"/>
            </w:pPr>
            <w:r w:rsidRPr="00FD436F">
              <w:t>ESS 6</w:t>
            </w:r>
            <w:r w:rsidR="008B1EE9">
              <w:t>:</w:t>
            </w:r>
            <w:r w:rsidRPr="00FD436F">
              <w:t xml:space="preserve"> Biodiversity Conservation and Sustainable Management of Living Natural Resources</w:t>
            </w:r>
          </w:p>
        </w:tc>
      </w:tr>
      <w:tr w:rsidR="00CF297E" w:rsidRPr="00FD436F" w14:paraId="76D0B6DC" w14:textId="77777777" w:rsidTr="009D5AA1">
        <w:trPr>
          <w:trHeight w:val="20"/>
          <w:jc w:val="center"/>
        </w:trPr>
        <w:tc>
          <w:tcPr>
            <w:tcW w:w="737" w:type="dxa"/>
          </w:tcPr>
          <w:p w14:paraId="7638A4F7" w14:textId="53E62296" w:rsidR="00CF297E" w:rsidRPr="00D1488C" w:rsidRDefault="00D1488C" w:rsidP="00355A40">
            <w:pPr>
              <w:pStyle w:val="Tableauparagraphe"/>
            </w:pPr>
            <w:r w:rsidRPr="00D1488C">
              <w:t>6.1</w:t>
            </w:r>
          </w:p>
        </w:tc>
        <w:tc>
          <w:tcPr>
            <w:tcW w:w="6307" w:type="dxa"/>
          </w:tcPr>
          <w:p w14:paraId="6C70E947" w14:textId="77777777" w:rsidR="00A82D4A" w:rsidRPr="00A114A9" w:rsidRDefault="00A82D4A" w:rsidP="00355A40">
            <w:pPr>
              <w:pStyle w:val="HeadingMeasure"/>
            </w:pPr>
            <w:r w:rsidRPr="00A114A9">
              <w:t xml:space="preserve">BIODIVERSITY RISKS AND IMPACTS </w:t>
            </w:r>
          </w:p>
          <w:p w14:paraId="2F5A6A7C" w14:textId="77777777" w:rsidR="001829A8" w:rsidRDefault="001829A8" w:rsidP="00656890">
            <w:pPr>
              <w:pStyle w:val="Tableauparagraphe"/>
            </w:pPr>
            <w:r>
              <w:t>ESS6 is not relevant to the project.</w:t>
            </w:r>
          </w:p>
          <w:p w14:paraId="761D826D" w14:textId="4F2E5E7C" w:rsidR="00CF297E" w:rsidRPr="00D1488C" w:rsidRDefault="00D175A4" w:rsidP="001829A8">
            <w:pPr>
              <w:pStyle w:val="Tableauparagraphe"/>
              <w:rPr>
                <w:rFonts w:ascii="Calibri" w:hAnsi="Calibri" w:cs="Calibri"/>
              </w:rPr>
            </w:pPr>
            <w:r w:rsidRPr="001F094E">
              <w:t xml:space="preserve">The </w:t>
            </w:r>
            <w:r w:rsidR="00ED57F7">
              <w:t xml:space="preserve">E&amp;S screening </w:t>
            </w:r>
            <w:r w:rsidR="00656890">
              <w:t xml:space="preserve">process mentioned in Action 1.2 above, </w:t>
            </w:r>
            <w:r w:rsidR="001829A8">
              <w:t xml:space="preserve">will exclude </w:t>
            </w:r>
            <w:r w:rsidRPr="001F094E">
              <w:t xml:space="preserve">any activities that </w:t>
            </w:r>
            <w:r w:rsidR="00ED57F7" w:rsidRPr="00ED57F7">
              <w:t>would significantly convert natural habitats or significantly alter potentially important biodiversity and/or cultural resource areas</w:t>
            </w:r>
            <w:r w:rsidR="00ED57F7">
              <w:t>.</w:t>
            </w:r>
          </w:p>
        </w:tc>
        <w:tc>
          <w:tcPr>
            <w:tcW w:w="3803" w:type="dxa"/>
          </w:tcPr>
          <w:p w14:paraId="72E6D374" w14:textId="77777777" w:rsidR="00656890" w:rsidRDefault="00656890" w:rsidP="00355A40">
            <w:pPr>
              <w:pStyle w:val="Tableauparagraphe"/>
            </w:pPr>
          </w:p>
          <w:p w14:paraId="6521829C" w14:textId="40EBA392" w:rsidR="00CF297E" w:rsidRPr="00D1488C" w:rsidRDefault="00656890" w:rsidP="00355A40">
            <w:pPr>
              <w:pStyle w:val="Tableauparagraphe"/>
              <w:rPr>
                <w:rFonts w:ascii="Calibri" w:hAnsi="Calibri" w:cs="Calibri"/>
              </w:rPr>
            </w:pPr>
            <w:r>
              <w:t>T</w:t>
            </w:r>
            <w:r w:rsidRPr="00A114A9">
              <w:t>hroughout</w:t>
            </w:r>
            <w:r w:rsidR="00C74507" w:rsidRPr="00A114A9">
              <w:t xml:space="preserve"> Project implementation.</w:t>
            </w:r>
          </w:p>
        </w:tc>
        <w:tc>
          <w:tcPr>
            <w:tcW w:w="3895" w:type="dxa"/>
          </w:tcPr>
          <w:p w14:paraId="6531E1AA" w14:textId="77777777" w:rsidR="00656890" w:rsidRDefault="00656890" w:rsidP="00355A40">
            <w:pPr>
              <w:pStyle w:val="Tableauparagraphe"/>
            </w:pPr>
          </w:p>
          <w:p w14:paraId="43F05A9B" w14:textId="2AEF00CA" w:rsidR="00CF297E" w:rsidRPr="00E46744" w:rsidRDefault="00C74507" w:rsidP="00355A40">
            <w:pPr>
              <w:pStyle w:val="Tableauparagraphe"/>
              <w:rPr>
                <w:rFonts w:ascii="Calibri" w:hAnsi="Calibri" w:cs="Calibri"/>
              </w:rPr>
            </w:pPr>
            <w:r w:rsidRPr="00E46744">
              <w:t xml:space="preserve">MEPC, </w:t>
            </w:r>
            <w:r w:rsidR="00D45DDB">
              <w:t>PIU</w:t>
            </w:r>
          </w:p>
        </w:tc>
      </w:tr>
      <w:tr w:rsidR="00CA493C" w:rsidRPr="00FD436F" w14:paraId="69197D86" w14:textId="77777777" w:rsidTr="009D5AA1">
        <w:trPr>
          <w:trHeight w:val="20"/>
          <w:jc w:val="center"/>
        </w:trPr>
        <w:tc>
          <w:tcPr>
            <w:tcW w:w="14742" w:type="dxa"/>
            <w:gridSpan w:val="4"/>
            <w:shd w:val="clear" w:color="auto" w:fill="F4B083" w:themeFill="accent2" w:themeFillTint="99"/>
          </w:tcPr>
          <w:p w14:paraId="603B96EA" w14:textId="1AA75299" w:rsidR="00CA493C" w:rsidRPr="00A114A9" w:rsidRDefault="00CA493C" w:rsidP="00F83C0B">
            <w:pPr>
              <w:pStyle w:val="ESSHeading"/>
            </w:pPr>
            <w:r w:rsidRPr="00FD436F">
              <w:t>ESS 7: Indigenous Peoples/Sub-Saharan African Historically Underserved Traditional Local Communities</w:t>
            </w:r>
          </w:p>
        </w:tc>
      </w:tr>
      <w:tr w:rsidR="00CA493C" w:rsidRPr="00FD436F" w14:paraId="29C2ADEE" w14:textId="77777777" w:rsidTr="009D5AA1">
        <w:trPr>
          <w:trHeight w:val="20"/>
          <w:jc w:val="center"/>
        </w:trPr>
        <w:tc>
          <w:tcPr>
            <w:tcW w:w="737" w:type="dxa"/>
          </w:tcPr>
          <w:p w14:paraId="39092E45" w14:textId="14395945" w:rsidR="00CA493C" w:rsidRPr="00A114A9" w:rsidRDefault="00B564EE" w:rsidP="00355A40">
            <w:pPr>
              <w:pStyle w:val="Tableauparagraphe"/>
            </w:pPr>
            <w:r w:rsidRPr="00A114A9">
              <w:t>7.1</w:t>
            </w:r>
          </w:p>
        </w:tc>
        <w:tc>
          <w:tcPr>
            <w:tcW w:w="6307" w:type="dxa"/>
          </w:tcPr>
          <w:p w14:paraId="3D5FA719" w14:textId="22E3D2E8" w:rsidR="00E46744" w:rsidRPr="00355A40" w:rsidRDefault="00E46744" w:rsidP="00355A40">
            <w:pPr>
              <w:pStyle w:val="HeadingMeasure"/>
            </w:pPr>
            <w:r w:rsidRPr="00355A40">
              <w:t>INDIGENOUS PEOPLES/SSHUTLC RISKS MANAGEMENT</w:t>
            </w:r>
          </w:p>
          <w:p w14:paraId="3040E6D5" w14:textId="220ED7E5" w:rsidR="00DB29EF" w:rsidRPr="00355A40" w:rsidRDefault="00DB29EF" w:rsidP="00355A40">
            <w:pPr>
              <w:pStyle w:val="Tableauparagraphe"/>
            </w:pPr>
            <w:r w:rsidRPr="00355A40">
              <w:t>The Recipient shall prepare, disclose, consult upon and adopt an Indigenous Peoples Planning Framework (IPPF) taking into account project-specific activities, consulted upon, cleared, and disclosed</w:t>
            </w:r>
            <w:r w:rsidR="006D26F5" w:rsidRPr="00355A40">
              <w:t xml:space="preserve"> following the ESS 7 requirements</w:t>
            </w:r>
            <w:r w:rsidR="00790CFA" w:rsidRPr="00355A40">
              <w:t>,</w:t>
            </w:r>
            <w:r w:rsidRPr="00355A40">
              <w:t xml:space="preserve"> prior to the </w:t>
            </w:r>
            <w:r w:rsidR="00475A9D" w:rsidRPr="00355A40">
              <w:t>project effective date</w:t>
            </w:r>
            <w:r w:rsidRPr="00355A40">
              <w:t>.</w:t>
            </w:r>
          </w:p>
        </w:tc>
        <w:tc>
          <w:tcPr>
            <w:tcW w:w="3803" w:type="dxa"/>
            <w:shd w:val="clear" w:color="auto" w:fill="FFFFFF" w:themeFill="background1"/>
          </w:tcPr>
          <w:p w14:paraId="52E9FE3D" w14:textId="77777777" w:rsidR="00656890" w:rsidRDefault="00656890" w:rsidP="00355A40">
            <w:pPr>
              <w:pStyle w:val="Tableauparagraphe"/>
            </w:pPr>
          </w:p>
          <w:p w14:paraId="44E44415" w14:textId="45AB2CFF" w:rsidR="00752AFB" w:rsidRPr="00355A40" w:rsidRDefault="00752AFB" w:rsidP="00355A40">
            <w:pPr>
              <w:pStyle w:val="Tableauparagraphe"/>
            </w:pPr>
            <w:r w:rsidRPr="00355A40">
              <w:t xml:space="preserve">IPPF:  prepared, disclosed, consulted upon and adopted prior to the project </w:t>
            </w:r>
            <w:r w:rsidR="00416C8B" w:rsidRPr="00355A40">
              <w:t>effective date</w:t>
            </w:r>
            <w:r w:rsidRPr="00355A40">
              <w:t>.</w:t>
            </w:r>
          </w:p>
        </w:tc>
        <w:tc>
          <w:tcPr>
            <w:tcW w:w="3895" w:type="dxa"/>
          </w:tcPr>
          <w:p w14:paraId="3E45FA04" w14:textId="77777777" w:rsidR="001829A8" w:rsidRDefault="001829A8" w:rsidP="00355A40">
            <w:pPr>
              <w:pStyle w:val="Tableauparagraphe"/>
            </w:pPr>
          </w:p>
          <w:p w14:paraId="0414B725" w14:textId="2DFE1CAD" w:rsidR="00CA493C" w:rsidRPr="00355A40" w:rsidRDefault="00CA493C" w:rsidP="00355A40">
            <w:pPr>
              <w:pStyle w:val="Tableauparagraphe"/>
            </w:pPr>
            <w:r w:rsidRPr="00355A40">
              <w:t xml:space="preserve">MEPC, </w:t>
            </w:r>
            <w:r w:rsidR="00D45DDB">
              <w:t>PIU</w:t>
            </w:r>
          </w:p>
        </w:tc>
      </w:tr>
      <w:tr w:rsidR="00355A40" w:rsidRPr="00FD436F" w14:paraId="14BA5B92" w14:textId="77777777" w:rsidTr="009D5AA1">
        <w:trPr>
          <w:trHeight w:val="20"/>
          <w:jc w:val="center"/>
        </w:trPr>
        <w:tc>
          <w:tcPr>
            <w:tcW w:w="737" w:type="dxa"/>
          </w:tcPr>
          <w:p w14:paraId="3CCCA611" w14:textId="77777777" w:rsidR="00355A40" w:rsidRPr="00A114A9" w:rsidRDefault="00355A40" w:rsidP="00355A40">
            <w:pPr>
              <w:pStyle w:val="Tableauparagraphe"/>
            </w:pPr>
          </w:p>
        </w:tc>
        <w:tc>
          <w:tcPr>
            <w:tcW w:w="6307" w:type="dxa"/>
          </w:tcPr>
          <w:p w14:paraId="120BA0C3" w14:textId="106048EB" w:rsidR="00355A40" w:rsidRPr="00A114A9" w:rsidRDefault="00355A40" w:rsidP="00355A40">
            <w:pPr>
              <w:pStyle w:val="Tableauparagraphe"/>
            </w:pPr>
            <w:r w:rsidRPr="00A114A9">
              <w:rPr>
                <w:rFonts w:cstheme="minorHAnsi"/>
              </w:rPr>
              <w:t xml:space="preserve">Once project sites and activities in locations where there is presence of IPs/SSHUTLC are determined, if needed, the Recipient shall prepare, disclose, consult upon and adopt an Indigenous Peoples Plan (IPP) acceptable to the World Bank that sets out measures through which the project shall ensure that: (i) IPs affected by the project receive culturally appropriate social and </w:t>
            </w:r>
            <w:r w:rsidRPr="00A114A9">
              <w:rPr>
                <w:rFonts w:cstheme="minorHAnsi"/>
              </w:rPr>
              <w:lastRenderedPageBreak/>
              <w:t>economic benefits; (ii) are able to participate in project benefits; and (iii) if potential adverse effects on IPs are identified, those adverse effects are avoided, minimized, mitigated or compensated.</w:t>
            </w:r>
          </w:p>
        </w:tc>
        <w:tc>
          <w:tcPr>
            <w:tcW w:w="3803" w:type="dxa"/>
            <w:shd w:val="clear" w:color="auto" w:fill="FFFFFF" w:themeFill="background1"/>
          </w:tcPr>
          <w:p w14:paraId="6323105C" w14:textId="7B578118" w:rsidR="00355A40" w:rsidRPr="00355A40" w:rsidRDefault="00355A40" w:rsidP="00355A40">
            <w:pPr>
              <w:pStyle w:val="Tableauparagraphe"/>
            </w:pPr>
            <w:r w:rsidRPr="00355A40">
              <w:lastRenderedPageBreak/>
              <w:t>IPP(s): Prior to the start of activities once project sites in locations where there is presence of IPs/ SSHUTLC are identified and needed, in accordance with the IPPF.</w:t>
            </w:r>
          </w:p>
        </w:tc>
        <w:tc>
          <w:tcPr>
            <w:tcW w:w="3895" w:type="dxa"/>
          </w:tcPr>
          <w:p w14:paraId="53378A1D" w14:textId="6DAEBB9A" w:rsidR="00355A40" w:rsidRPr="00355A40" w:rsidRDefault="001829A8" w:rsidP="00355A40">
            <w:pPr>
              <w:pStyle w:val="Tableauparagraphe"/>
            </w:pPr>
            <w:r>
              <w:t>MEPC, PIU</w:t>
            </w:r>
          </w:p>
        </w:tc>
      </w:tr>
      <w:tr w:rsidR="005433C4" w:rsidRPr="00FD436F" w14:paraId="1782FC7B" w14:textId="77777777" w:rsidTr="009D5AA1">
        <w:trPr>
          <w:trHeight w:val="20"/>
          <w:jc w:val="center"/>
        </w:trPr>
        <w:tc>
          <w:tcPr>
            <w:tcW w:w="737" w:type="dxa"/>
          </w:tcPr>
          <w:p w14:paraId="24314F93" w14:textId="797B87CC" w:rsidR="005433C4" w:rsidRPr="005433C4" w:rsidRDefault="005433C4" w:rsidP="004B2920">
            <w:pPr>
              <w:pStyle w:val="Tableauparagraphe"/>
            </w:pPr>
            <w:r w:rsidRPr="005433C4">
              <w:t>7.2</w:t>
            </w:r>
          </w:p>
        </w:tc>
        <w:tc>
          <w:tcPr>
            <w:tcW w:w="6307" w:type="dxa"/>
          </w:tcPr>
          <w:p w14:paraId="7E7A8B3D" w14:textId="4DE78B08" w:rsidR="005433C4" w:rsidRPr="00355A40" w:rsidRDefault="005433C4" w:rsidP="00355A40">
            <w:pPr>
              <w:pStyle w:val="HeadingMeasure"/>
            </w:pPr>
            <w:r w:rsidRPr="00355A40">
              <w:t>GRIEVANCE MECHANISM</w:t>
            </w:r>
          </w:p>
          <w:p w14:paraId="12C67AFE" w14:textId="089EE3C8" w:rsidR="005433C4" w:rsidRPr="00355A40" w:rsidRDefault="005433C4" w:rsidP="00355A40">
            <w:pPr>
              <w:pStyle w:val="Tableauparagraphe"/>
            </w:pPr>
            <w:r w:rsidRPr="00355A40">
              <w:t xml:space="preserve">Any grievances that may subsequently arise during project implementation among IPs/SSHUTLC shall be addressed through the overall project GM described in the SEP and ESMP. The SEP shall also contain outreach measures to ensure IPs receive information in timely and culturally appropriate ways to ensure they are aware of project opportunities and risks linked to </w:t>
            </w:r>
            <w:r w:rsidR="00176341" w:rsidRPr="00355A40">
              <w:t>human capital activities</w:t>
            </w:r>
            <w:r w:rsidRPr="00355A40">
              <w:t>.</w:t>
            </w:r>
          </w:p>
        </w:tc>
        <w:tc>
          <w:tcPr>
            <w:tcW w:w="3803" w:type="dxa"/>
            <w:shd w:val="clear" w:color="auto" w:fill="FFFFFF" w:themeFill="background1"/>
          </w:tcPr>
          <w:p w14:paraId="7546F385" w14:textId="77777777" w:rsidR="001829A8" w:rsidRDefault="001829A8" w:rsidP="00355A40">
            <w:pPr>
              <w:pStyle w:val="Tableauparagraphe"/>
              <w:rPr>
                <w:lang w:val="en-GB"/>
              </w:rPr>
            </w:pPr>
          </w:p>
          <w:p w14:paraId="63692BC7" w14:textId="52951558" w:rsidR="005433C4" w:rsidRPr="005433C4" w:rsidRDefault="005433C4" w:rsidP="00355A40">
            <w:pPr>
              <w:pStyle w:val="Tableauparagraphe"/>
              <w:rPr>
                <w:i/>
                <w:shd w:val="clear" w:color="auto" w:fill="FFFFFF" w:themeFill="background1"/>
              </w:rPr>
            </w:pPr>
            <w:r w:rsidRPr="00A114A9">
              <w:rPr>
                <w:lang w:val="en-GB"/>
              </w:rPr>
              <w:t xml:space="preserve">Outreach to IPs included in the SEP and detailed in the GM (including SEA/SH specific GM), prepared prior to the </w:t>
            </w:r>
            <w:r>
              <w:rPr>
                <w:lang w:val="en-GB"/>
              </w:rPr>
              <w:t>project effective date</w:t>
            </w:r>
          </w:p>
        </w:tc>
        <w:tc>
          <w:tcPr>
            <w:tcW w:w="3895" w:type="dxa"/>
          </w:tcPr>
          <w:p w14:paraId="1DDD11C0" w14:textId="77777777" w:rsidR="001829A8" w:rsidRDefault="001829A8" w:rsidP="00355A40">
            <w:pPr>
              <w:pStyle w:val="Tableauparagraphe"/>
            </w:pPr>
          </w:p>
          <w:p w14:paraId="54C15266" w14:textId="3C60B8D2" w:rsidR="005433C4" w:rsidRPr="005433C4" w:rsidRDefault="005433C4" w:rsidP="00355A40">
            <w:pPr>
              <w:pStyle w:val="Tableauparagraphe"/>
            </w:pPr>
            <w:r w:rsidRPr="00A114A9">
              <w:t xml:space="preserve">MEPC/ </w:t>
            </w:r>
            <w:r w:rsidR="00D45DDB">
              <w:t>PIU</w:t>
            </w:r>
            <w:r w:rsidRPr="00A114A9">
              <w:t xml:space="preserve"> </w:t>
            </w:r>
          </w:p>
        </w:tc>
      </w:tr>
      <w:tr w:rsidR="00CA493C" w:rsidRPr="00FD436F" w14:paraId="411EC735" w14:textId="77777777" w:rsidTr="009D5AA1">
        <w:trPr>
          <w:trHeight w:val="20"/>
          <w:jc w:val="center"/>
        </w:trPr>
        <w:tc>
          <w:tcPr>
            <w:tcW w:w="14742" w:type="dxa"/>
            <w:gridSpan w:val="4"/>
            <w:shd w:val="clear" w:color="auto" w:fill="F4B083" w:themeFill="accent2" w:themeFillTint="99"/>
          </w:tcPr>
          <w:p w14:paraId="681D24EF" w14:textId="0ADED517" w:rsidR="00CA493C" w:rsidRPr="00611AEA" w:rsidRDefault="00CA493C" w:rsidP="003D219F">
            <w:pPr>
              <w:pStyle w:val="ESSHeading"/>
            </w:pPr>
            <w:r w:rsidRPr="00FD436F">
              <w:t>ESS 8: Cultural Heritage</w:t>
            </w:r>
          </w:p>
        </w:tc>
      </w:tr>
      <w:tr w:rsidR="00811AEF" w:rsidRPr="00FD436F" w14:paraId="6458B379" w14:textId="77777777" w:rsidTr="009D5AA1">
        <w:trPr>
          <w:trHeight w:val="20"/>
          <w:jc w:val="center"/>
        </w:trPr>
        <w:tc>
          <w:tcPr>
            <w:tcW w:w="737" w:type="dxa"/>
          </w:tcPr>
          <w:p w14:paraId="5BFCBB40" w14:textId="7E947F2A" w:rsidR="00811AEF" w:rsidRDefault="00811AEF" w:rsidP="004B2920">
            <w:pPr>
              <w:pStyle w:val="Tableauparagraphe"/>
            </w:pPr>
            <w:r>
              <w:t>8.1</w:t>
            </w:r>
          </w:p>
        </w:tc>
        <w:tc>
          <w:tcPr>
            <w:tcW w:w="6307" w:type="dxa"/>
          </w:tcPr>
          <w:p w14:paraId="7FC65892" w14:textId="7DB9722B" w:rsidR="008030B0" w:rsidRPr="00067E7A" w:rsidRDefault="008030B0" w:rsidP="00355A40">
            <w:pPr>
              <w:pStyle w:val="Tableauparagraphe"/>
            </w:pPr>
            <w:r w:rsidRPr="00067E7A">
              <w:t>ESS8 is not currently relevant to the Project. Although Component 1 of the project aims at community mobilization</w:t>
            </w:r>
            <w:r w:rsidR="00355A40">
              <w:t xml:space="preserve"> </w:t>
            </w:r>
            <w:r w:rsidRPr="00067E7A">
              <w:rPr>
                <w:rFonts w:ascii="Calibri" w:hAnsi="Calibri" w:cs="Calibri"/>
              </w:rPr>
              <w:t>and awareness raising on key positive practices, none of the activities aimed at achieving this objective will have an</w:t>
            </w:r>
            <w:r w:rsidR="00355A40">
              <w:rPr>
                <w:rFonts w:ascii="Calibri" w:hAnsi="Calibri" w:cs="Calibri"/>
              </w:rPr>
              <w:t xml:space="preserve"> </w:t>
            </w:r>
            <w:r w:rsidRPr="00067E7A">
              <w:rPr>
                <w:rFonts w:ascii="Calibri" w:hAnsi="Calibri" w:cs="Calibri"/>
              </w:rPr>
              <w:t>impact on cultural heritage, whether tangible or intangible. However, ‘chance find’ procedures will be included in the</w:t>
            </w:r>
            <w:r w:rsidR="00355A40">
              <w:rPr>
                <w:rFonts w:ascii="Calibri" w:hAnsi="Calibri" w:cs="Calibri"/>
              </w:rPr>
              <w:t xml:space="preserve"> </w:t>
            </w:r>
            <w:r w:rsidRPr="00067E7A">
              <w:rPr>
                <w:rFonts w:ascii="Calibri" w:hAnsi="Calibri" w:cs="Calibri"/>
              </w:rPr>
              <w:t>ESMF.</w:t>
            </w:r>
          </w:p>
          <w:p w14:paraId="09A871DA" w14:textId="0EEED88A" w:rsidR="00811AEF" w:rsidRPr="005A65C1" w:rsidRDefault="00811AEF" w:rsidP="00355A40">
            <w:pPr>
              <w:pStyle w:val="Tableauparagraphe"/>
              <w:rPr>
                <w:iCs/>
              </w:rPr>
            </w:pPr>
            <w:r w:rsidRPr="00067E7A">
              <w:t>There are no actions under the project with known impact on Cultural Heritage, therefore there are no mitigation measures to be undertaken under this ESS8. A Chance Finds procedure shall be included in the ESMF.</w:t>
            </w:r>
          </w:p>
        </w:tc>
        <w:tc>
          <w:tcPr>
            <w:tcW w:w="3803" w:type="dxa"/>
          </w:tcPr>
          <w:p w14:paraId="1E246561" w14:textId="51DA266B" w:rsidR="00811AEF" w:rsidRPr="00FD6886" w:rsidRDefault="00811AEF" w:rsidP="00355A40">
            <w:pPr>
              <w:pStyle w:val="Tableauparagraphe"/>
            </w:pPr>
            <w:r w:rsidRPr="00A114A9">
              <w:t>Mitigation measures shall be defined during the preparation of the ESMF and applied by the Contractors during the implementation of the works.</w:t>
            </w:r>
          </w:p>
        </w:tc>
        <w:tc>
          <w:tcPr>
            <w:tcW w:w="3895" w:type="dxa"/>
          </w:tcPr>
          <w:p w14:paraId="218E1F6F" w14:textId="24B5D5F5" w:rsidR="00811AEF" w:rsidRPr="00FD6886" w:rsidRDefault="00811AEF" w:rsidP="00355A40">
            <w:pPr>
              <w:pStyle w:val="Tableauparagraphe"/>
            </w:pPr>
            <w:r w:rsidRPr="00A114A9">
              <w:t>ME</w:t>
            </w:r>
            <w:r w:rsidR="008030B0" w:rsidRPr="00A114A9">
              <w:t>PC</w:t>
            </w:r>
            <w:r w:rsidRPr="00A114A9">
              <w:t xml:space="preserve">/ </w:t>
            </w:r>
            <w:r w:rsidR="00D45DDB">
              <w:t>PIU</w:t>
            </w:r>
            <w:r w:rsidRPr="00A114A9">
              <w:t xml:space="preserve"> </w:t>
            </w:r>
          </w:p>
        </w:tc>
      </w:tr>
      <w:tr w:rsidR="00CA493C" w:rsidRPr="00FD436F" w14:paraId="06C08EFD" w14:textId="77777777" w:rsidTr="009D5AA1">
        <w:trPr>
          <w:trHeight w:val="20"/>
          <w:jc w:val="center"/>
        </w:trPr>
        <w:tc>
          <w:tcPr>
            <w:tcW w:w="14742" w:type="dxa"/>
            <w:gridSpan w:val="4"/>
            <w:shd w:val="clear" w:color="auto" w:fill="F4B083" w:themeFill="accent2" w:themeFillTint="99"/>
          </w:tcPr>
          <w:p w14:paraId="47CFB787" w14:textId="083913CD" w:rsidR="00CA493C" w:rsidRPr="00611AEA" w:rsidRDefault="00CA493C" w:rsidP="003D219F">
            <w:pPr>
              <w:pStyle w:val="ESSHeading"/>
            </w:pPr>
            <w:r w:rsidRPr="0068139B">
              <w:t>ESS 9: Financial Intermediaries</w:t>
            </w:r>
          </w:p>
        </w:tc>
      </w:tr>
      <w:tr w:rsidR="00642A79" w:rsidRPr="00FD436F" w14:paraId="3C661954" w14:textId="77777777" w:rsidTr="009D5AA1">
        <w:trPr>
          <w:trHeight w:val="20"/>
          <w:jc w:val="center"/>
        </w:trPr>
        <w:tc>
          <w:tcPr>
            <w:tcW w:w="737" w:type="dxa"/>
          </w:tcPr>
          <w:p w14:paraId="3BBCCBAD" w14:textId="363098B4" w:rsidR="00642A79" w:rsidRDefault="00642A79" w:rsidP="004B2920">
            <w:pPr>
              <w:pStyle w:val="Tableauparagraphe"/>
            </w:pPr>
            <w:r>
              <w:t>9.1</w:t>
            </w:r>
          </w:p>
        </w:tc>
        <w:tc>
          <w:tcPr>
            <w:tcW w:w="6307" w:type="dxa"/>
          </w:tcPr>
          <w:p w14:paraId="54DE7D5E" w14:textId="651CF502" w:rsidR="00642A79" w:rsidRDefault="00642A79" w:rsidP="003D219F">
            <w:pPr>
              <w:pStyle w:val="Tableauparagraphe"/>
            </w:pPr>
            <w:r>
              <w:t>ESS9 is not currently relevant to the Project. No financial intermediary will be financed through the Bank funds for the</w:t>
            </w:r>
            <w:r w:rsidR="003D219F">
              <w:t xml:space="preserve"> </w:t>
            </w:r>
            <w:r>
              <w:t>implementation of the project's activities.</w:t>
            </w:r>
            <w:r>
              <w:rPr>
                <w:rFonts w:cstheme="minorHAnsi"/>
                <w:iCs/>
              </w:rPr>
              <w:t xml:space="preserve"> </w:t>
            </w:r>
            <w:r>
              <w:rPr>
                <w:noProof/>
              </w:rPr>
              <w:t xml:space="preserve">However, access to finance possibly through local financial institutions could be considered under the project, </w:t>
            </w:r>
            <w:r w:rsidRPr="00067E7A">
              <w:rPr>
                <w:noProof/>
              </w:rPr>
              <w:t xml:space="preserve">especially </w:t>
            </w:r>
            <w:r w:rsidR="00FB58A0" w:rsidRPr="00067E7A">
              <w:rPr>
                <w:noProof/>
              </w:rPr>
              <w:t>payment</w:t>
            </w:r>
            <w:r w:rsidR="00FB58A0" w:rsidRPr="00FB58A0">
              <w:rPr>
                <w:noProof/>
              </w:rPr>
              <w:t xml:space="preserve"> of bursaries to students, payment of school fees, and payment of working capital </w:t>
            </w:r>
            <w:r w:rsidR="00FB58A0" w:rsidRPr="00FB58A0">
              <w:rPr>
                <w:noProof/>
              </w:rPr>
              <w:lastRenderedPageBreak/>
              <w:t>to young women for the launch of economic activities</w:t>
            </w:r>
            <w:r w:rsidR="000F00B8">
              <w:rPr>
                <w:noProof/>
              </w:rPr>
              <w:t>.</w:t>
            </w:r>
            <w:r>
              <w:rPr>
                <w:noProof/>
              </w:rPr>
              <w:t xml:space="preserve"> In case </w:t>
            </w:r>
            <w:r w:rsidR="001829A8">
              <w:rPr>
                <w:noProof/>
              </w:rPr>
              <w:t xml:space="preserve">the </w:t>
            </w:r>
            <w:r>
              <w:rPr>
                <w:noProof/>
              </w:rPr>
              <w:t>project decides to involve use of financial institutions to provide access to finance, ESS9 would apply.</w:t>
            </w:r>
          </w:p>
        </w:tc>
        <w:tc>
          <w:tcPr>
            <w:tcW w:w="3803" w:type="dxa"/>
          </w:tcPr>
          <w:p w14:paraId="767C70F6" w14:textId="506748BA" w:rsidR="00642A79" w:rsidRDefault="00642A79" w:rsidP="003D219F">
            <w:pPr>
              <w:pStyle w:val="Tableauparagraphe"/>
            </w:pPr>
            <w:r w:rsidRPr="00133C1D">
              <w:rPr>
                <w:rFonts w:cstheme="minorHAnsi"/>
                <w:iCs/>
              </w:rPr>
              <w:lastRenderedPageBreak/>
              <w:t xml:space="preserve">Prior to commencement </w:t>
            </w:r>
            <w:r w:rsidRPr="001F094E">
              <w:rPr>
                <w:rFonts w:cstheme="minorHAnsi"/>
                <w:iCs/>
              </w:rPr>
              <w:t>of</w:t>
            </w:r>
            <w:r w:rsidRPr="001F094E" w:rsidDel="00485A5B">
              <w:rPr>
                <w:rFonts w:cstheme="minorHAnsi"/>
                <w:iCs/>
              </w:rPr>
              <w:t xml:space="preserve"> </w:t>
            </w:r>
            <w:r w:rsidRPr="001F094E">
              <w:rPr>
                <w:rFonts w:cstheme="minorHAnsi"/>
                <w:iCs/>
              </w:rPr>
              <w:t xml:space="preserve">school </w:t>
            </w:r>
            <w:r w:rsidR="002B1B67" w:rsidRPr="001F094E">
              <w:rPr>
                <w:rFonts w:cstheme="minorHAnsi"/>
                <w:iCs/>
              </w:rPr>
              <w:t>and economical young girls</w:t>
            </w:r>
            <w:r w:rsidR="00184899">
              <w:rPr>
                <w:rFonts w:cstheme="minorHAnsi"/>
                <w:iCs/>
              </w:rPr>
              <w:t xml:space="preserve"> </w:t>
            </w:r>
            <w:r>
              <w:rPr>
                <w:rFonts w:cstheme="minorHAnsi"/>
                <w:iCs/>
              </w:rPr>
              <w:t>grants activities</w:t>
            </w:r>
            <w:r w:rsidRPr="00133C1D">
              <w:rPr>
                <w:rFonts w:cstheme="minorHAnsi"/>
                <w:iCs/>
              </w:rPr>
              <w:t>, and thereafter implemented throughout Project implementation.</w:t>
            </w:r>
          </w:p>
        </w:tc>
        <w:tc>
          <w:tcPr>
            <w:tcW w:w="3895" w:type="dxa"/>
          </w:tcPr>
          <w:p w14:paraId="4E3E0582" w14:textId="50D65CB2" w:rsidR="00642A79" w:rsidRDefault="00642A79" w:rsidP="00642A79">
            <w:pPr>
              <w:autoSpaceDE w:val="0"/>
              <w:autoSpaceDN w:val="0"/>
              <w:adjustRightInd w:val="0"/>
              <w:rPr>
                <w:rFonts w:ascii="Calibri" w:hAnsi="Calibri" w:cs="Calibri"/>
              </w:rPr>
            </w:pPr>
            <w:r>
              <w:rPr>
                <w:rFonts w:cstheme="minorHAnsi"/>
                <w:sz w:val="20"/>
                <w:szCs w:val="20"/>
              </w:rPr>
              <w:t xml:space="preserve">MEPC/ </w:t>
            </w:r>
            <w:r w:rsidR="00D45DDB">
              <w:rPr>
                <w:rFonts w:cstheme="minorHAnsi"/>
                <w:sz w:val="20"/>
                <w:szCs w:val="20"/>
              </w:rPr>
              <w:t>PIU</w:t>
            </w:r>
          </w:p>
        </w:tc>
      </w:tr>
      <w:tr w:rsidR="00CA493C" w:rsidRPr="00FD436F" w14:paraId="064653C7" w14:textId="77777777" w:rsidTr="009D5AA1">
        <w:trPr>
          <w:cantSplit/>
          <w:trHeight w:val="368"/>
          <w:jc w:val="center"/>
        </w:trPr>
        <w:tc>
          <w:tcPr>
            <w:tcW w:w="14742" w:type="dxa"/>
            <w:gridSpan w:val="4"/>
            <w:shd w:val="clear" w:color="auto" w:fill="F4B083" w:themeFill="accent2" w:themeFillTint="99"/>
          </w:tcPr>
          <w:p w14:paraId="4C30C6C5" w14:textId="77777777" w:rsidR="00CA493C" w:rsidRPr="00FD436F" w:rsidRDefault="00CA493C" w:rsidP="00355A40">
            <w:pPr>
              <w:pStyle w:val="ESSHeading"/>
              <w:rPr>
                <w:sz w:val="20"/>
                <w:szCs w:val="20"/>
              </w:rPr>
            </w:pPr>
            <w:r w:rsidRPr="00796812">
              <w:t>ESS 10: Stakeholder Engagement and Information Disclosure</w:t>
            </w:r>
          </w:p>
        </w:tc>
      </w:tr>
      <w:tr w:rsidR="00CA493C" w:rsidRPr="00FD436F" w14:paraId="2C3DB9B7" w14:textId="77777777" w:rsidTr="009D5AA1">
        <w:trPr>
          <w:trHeight w:val="20"/>
          <w:jc w:val="center"/>
        </w:trPr>
        <w:tc>
          <w:tcPr>
            <w:tcW w:w="737" w:type="dxa"/>
          </w:tcPr>
          <w:p w14:paraId="6C898D5F" w14:textId="316FE002" w:rsidR="00CA493C" w:rsidRPr="00A114A9" w:rsidRDefault="004669C5" w:rsidP="00355A40">
            <w:pPr>
              <w:pStyle w:val="Tableauparagraphe"/>
            </w:pPr>
            <w:r w:rsidRPr="00A114A9">
              <w:t>10.1</w:t>
            </w:r>
          </w:p>
        </w:tc>
        <w:tc>
          <w:tcPr>
            <w:tcW w:w="6307" w:type="dxa"/>
          </w:tcPr>
          <w:p w14:paraId="6A165AAD" w14:textId="77777777" w:rsidR="00CA493C" w:rsidRPr="00355A40" w:rsidRDefault="00CA493C" w:rsidP="00355A40">
            <w:pPr>
              <w:pStyle w:val="HeadingMeasure"/>
            </w:pPr>
            <w:r w:rsidRPr="00355A40">
              <w:t>STAKEHOLDER ENGAGEMENT PLAN</w:t>
            </w:r>
          </w:p>
          <w:p w14:paraId="601E67C6" w14:textId="4AD71857" w:rsidR="00CA493C" w:rsidRPr="00355A40" w:rsidRDefault="00CA493C" w:rsidP="00355A40">
            <w:pPr>
              <w:pStyle w:val="Tableauparagraphe"/>
            </w:pPr>
            <w:r w:rsidRPr="00355A40">
              <w:t xml:space="preserve">The Recipient will ensure that the SEP is developed, disclosed and implemented in a manner consistent with ESS 10 for </w:t>
            </w:r>
            <w:r w:rsidR="0059226B" w:rsidRPr="00355A40">
              <w:t xml:space="preserve">Project </w:t>
            </w:r>
            <w:r w:rsidRPr="00355A40">
              <w:t>activities, including the preparation of E&amp;S documents and other technical studies, as appropriate.</w:t>
            </w:r>
          </w:p>
          <w:p w14:paraId="7401580A" w14:textId="0C9223C0" w:rsidR="00CD0B30" w:rsidRPr="00355A40" w:rsidRDefault="00CD0B30" w:rsidP="00355A40">
            <w:pPr>
              <w:pStyle w:val="Tableauparagraphe"/>
            </w:pPr>
            <w:r w:rsidRPr="00355A40">
              <w:t>The SEP shall include additional guidance on public consultations/stakeholder engagement which takes into account the social distancing measures for COVID-19.</w:t>
            </w:r>
          </w:p>
        </w:tc>
        <w:tc>
          <w:tcPr>
            <w:tcW w:w="3803" w:type="dxa"/>
            <w:shd w:val="clear" w:color="auto" w:fill="FFFFFF" w:themeFill="background1"/>
          </w:tcPr>
          <w:p w14:paraId="729B7270" w14:textId="5FC4E141" w:rsidR="006B1D63" w:rsidRPr="003B399E" w:rsidRDefault="006B1D63" w:rsidP="00355A40">
            <w:pPr>
              <w:pStyle w:val="Tableauparagraphe"/>
              <w:rPr>
                <w:i/>
                <w:shd w:val="clear" w:color="auto" w:fill="FFFFFF" w:themeFill="background1"/>
              </w:rPr>
            </w:pPr>
            <w:r w:rsidRPr="00A114A9">
              <w:t>SEP: prepared, disclosed, consulted upon, approved, and adopted before the start of project appraisal. The SEP shall be implemented and updated periodically as needed throughout the Project implementation period.</w:t>
            </w:r>
          </w:p>
        </w:tc>
        <w:tc>
          <w:tcPr>
            <w:tcW w:w="3895" w:type="dxa"/>
          </w:tcPr>
          <w:p w14:paraId="508227CD" w14:textId="4AAEFA4C" w:rsidR="00CA493C" w:rsidRPr="003C1A0D" w:rsidRDefault="00CA493C" w:rsidP="00355A40">
            <w:pPr>
              <w:pStyle w:val="Tableauparagraphe"/>
              <w:rPr>
                <w:rFonts w:cstheme="minorHAnsi"/>
              </w:rPr>
            </w:pPr>
            <w:r w:rsidRPr="003C1A0D">
              <w:rPr>
                <w:rFonts w:cstheme="minorHAnsi"/>
              </w:rPr>
              <w:t xml:space="preserve">MEPC, </w:t>
            </w:r>
            <w:r w:rsidR="00D45DDB">
              <w:rPr>
                <w:rFonts w:cstheme="minorHAnsi"/>
              </w:rPr>
              <w:t>PIU</w:t>
            </w:r>
            <w:r w:rsidRPr="003C1A0D">
              <w:rPr>
                <w:rFonts w:cstheme="minorHAnsi"/>
              </w:rPr>
              <w:t xml:space="preserve"> </w:t>
            </w:r>
          </w:p>
        </w:tc>
      </w:tr>
      <w:tr w:rsidR="00CA493C" w:rsidRPr="00FD436F" w14:paraId="6D87D516" w14:textId="77777777" w:rsidTr="009D5AA1">
        <w:trPr>
          <w:trHeight w:val="20"/>
          <w:jc w:val="center"/>
        </w:trPr>
        <w:tc>
          <w:tcPr>
            <w:tcW w:w="737" w:type="dxa"/>
          </w:tcPr>
          <w:p w14:paraId="5E17D908" w14:textId="310AFE55" w:rsidR="00CA493C" w:rsidRPr="00A114A9" w:rsidRDefault="004669C5" w:rsidP="00355A40">
            <w:pPr>
              <w:pStyle w:val="Tableauparagraphe"/>
            </w:pPr>
            <w:r w:rsidRPr="00A114A9">
              <w:t>10.2</w:t>
            </w:r>
          </w:p>
        </w:tc>
        <w:tc>
          <w:tcPr>
            <w:tcW w:w="6307" w:type="dxa"/>
          </w:tcPr>
          <w:p w14:paraId="36F344CC" w14:textId="35C50316" w:rsidR="00CA493C" w:rsidRPr="00355A40" w:rsidRDefault="00CA493C" w:rsidP="00355A40">
            <w:pPr>
              <w:pStyle w:val="HeadingMeasure"/>
            </w:pPr>
            <w:r w:rsidRPr="00355A40">
              <w:t>GRIEVANCE MECHANISM</w:t>
            </w:r>
          </w:p>
          <w:p w14:paraId="53EDF0CE" w14:textId="56B1AF64" w:rsidR="00B15315" w:rsidRPr="00355A40" w:rsidRDefault="00E07870" w:rsidP="00355A40">
            <w:pPr>
              <w:pStyle w:val="Tableauparagraphe"/>
            </w:pPr>
            <w:r w:rsidRPr="00355A40">
              <w:t xml:space="preserve">Acceptable grievance arrangements shall be made publicly available to receive and facilitate resolution of concerns and grievances in relation to the Project, consistent with ESS10, in a manner acceptable to the World Bank. Without limitation to the foregoing, the Recipient shall prepare and establish a project-wide grievance mechanism (GM), with a specific mechanism sensitive to address SEA/SH complaints ethically, safely, and confidentially. The SEA/SH-sensitive GM shall adopt reporting and complaint/ allegation procedure as part of an accountability and response framework designed to handle SEA/SH complaints in line with guiding principles for survivor care. In addition, the GM shall ensure appropriate and accessible channels are developed to receive and address complaints made by IPs/ SSHUTLC in accordance with ESS7. The SEP shall ensure that sensitization activities on the GM are carried out in accessible format according to the target audience, </w:t>
            </w:r>
            <w:r w:rsidRPr="00355A40">
              <w:lastRenderedPageBreak/>
              <w:t>including being sensitive to IPs/SSHUTLC needs and concerns that would have been raised during the SEP consultations.</w:t>
            </w:r>
          </w:p>
        </w:tc>
        <w:tc>
          <w:tcPr>
            <w:tcW w:w="3803" w:type="dxa"/>
            <w:shd w:val="clear" w:color="auto" w:fill="FFFFFF" w:themeFill="background1"/>
          </w:tcPr>
          <w:p w14:paraId="6A3BF410" w14:textId="79A260B2" w:rsidR="00CA493C" w:rsidRPr="00B15315" w:rsidRDefault="003B399E" w:rsidP="00355A40">
            <w:pPr>
              <w:pStyle w:val="Tableauparagraphe"/>
              <w:rPr>
                <w:i/>
                <w:shd w:val="clear" w:color="auto" w:fill="FFFFFF" w:themeFill="background1"/>
              </w:rPr>
            </w:pPr>
            <w:r w:rsidRPr="00A114A9">
              <w:lastRenderedPageBreak/>
              <w:t>GM: Operational prior to commencement of Project activities and maintained throughout project implementation.</w:t>
            </w:r>
          </w:p>
        </w:tc>
        <w:tc>
          <w:tcPr>
            <w:tcW w:w="3895" w:type="dxa"/>
          </w:tcPr>
          <w:p w14:paraId="190EF2DD" w14:textId="656496E8" w:rsidR="00CA493C" w:rsidRPr="00B15315" w:rsidRDefault="00CA493C" w:rsidP="00355A40">
            <w:pPr>
              <w:pStyle w:val="Tableauparagraphe"/>
              <w:rPr>
                <w:rFonts w:cstheme="minorHAnsi"/>
              </w:rPr>
            </w:pPr>
            <w:r w:rsidRPr="00B15315">
              <w:rPr>
                <w:rFonts w:cstheme="minorHAnsi"/>
              </w:rPr>
              <w:t xml:space="preserve">MEPC, </w:t>
            </w:r>
            <w:r w:rsidR="00D45DDB">
              <w:rPr>
                <w:rFonts w:cstheme="minorHAnsi"/>
              </w:rPr>
              <w:t>PIU</w:t>
            </w:r>
          </w:p>
        </w:tc>
      </w:tr>
      <w:tr w:rsidR="00CA493C" w:rsidRPr="00FD436F" w14:paraId="00299761" w14:textId="77777777" w:rsidTr="009D5AA1">
        <w:trPr>
          <w:cantSplit/>
          <w:trHeight w:val="377"/>
          <w:jc w:val="center"/>
        </w:trPr>
        <w:tc>
          <w:tcPr>
            <w:tcW w:w="14742" w:type="dxa"/>
            <w:gridSpan w:val="4"/>
            <w:shd w:val="clear" w:color="auto" w:fill="F4B083" w:themeFill="accent2" w:themeFillTint="99"/>
          </w:tcPr>
          <w:p w14:paraId="34B789AE" w14:textId="77777777" w:rsidR="00CA493C" w:rsidRPr="00FD436F" w:rsidRDefault="00CA493C" w:rsidP="00355A40">
            <w:pPr>
              <w:pStyle w:val="ESSHeading"/>
            </w:pPr>
            <w:r w:rsidRPr="00FD436F">
              <w:t>Capacity Support (Training)</w:t>
            </w:r>
          </w:p>
        </w:tc>
      </w:tr>
      <w:tr w:rsidR="0043614B" w:rsidRPr="00FD436F" w14:paraId="01F9EF6A" w14:textId="77777777" w:rsidTr="009D5AA1">
        <w:trPr>
          <w:trHeight w:val="377"/>
          <w:jc w:val="center"/>
        </w:trPr>
        <w:tc>
          <w:tcPr>
            <w:tcW w:w="737" w:type="dxa"/>
            <w:shd w:val="clear" w:color="auto" w:fill="FFFFFF" w:themeFill="background1"/>
          </w:tcPr>
          <w:p w14:paraId="198B698A" w14:textId="2BD46A82" w:rsidR="0043614B" w:rsidRPr="00FD436F" w:rsidRDefault="0043614B" w:rsidP="00355A40">
            <w:pPr>
              <w:keepLines/>
              <w:widowControl w:val="0"/>
              <w:spacing w:before="60"/>
              <w:jc w:val="both"/>
              <w:rPr>
                <w:rFonts w:eastAsia="Times New Roman" w:cstheme="minorHAnsi"/>
                <w:bCs/>
                <w:iCs/>
              </w:rPr>
            </w:pPr>
            <w:r>
              <w:rPr>
                <w:rFonts w:eastAsia="Times New Roman" w:cstheme="minorHAnsi"/>
                <w:bCs/>
                <w:iCs/>
              </w:rPr>
              <w:t>CS1</w:t>
            </w:r>
          </w:p>
        </w:tc>
        <w:tc>
          <w:tcPr>
            <w:tcW w:w="6307" w:type="dxa"/>
            <w:shd w:val="clear" w:color="auto" w:fill="FFFFFF" w:themeFill="background1"/>
          </w:tcPr>
          <w:p w14:paraId="4CA56FC7" w14:textId="551BB174" w:rsidR="0043614B" w:rsidRDefault="0043614B" w:rsidP="003D219F">
            <w:pPr>
              <w:pStyle w:val="Tableauparagraphe"/>
            </w:pPr>
            <w:r w:rsidRPr="00067E7A">
              <w:t>Training to the PIU shall be required in the following areas:</w:t>
            </w:r>
          </w:p>
          <w:p w14:paraId="22739EB6" w14:textId="046C2EFB" w:rsidR="003D219F" w:rsidRDefault="003D219F" w:rsidP="003D219F">
            <w:pPr>
              <w:pStyle w:val="TableauPuce1"/>
            </w:pPr>
            <w:r>
              <w:t>E</w:t>
            </w:r>
            <w:r w:rsidRPr="003D219F">
              <w:t>SF briefing session during the launching workshop</w:t>
            </w:r>
          </w:p>
          <w:p w14:paraId="6241B3ED" w14:textId="77777777" w:rsidR="0043614B" w:rsidRPr="003D219F" w:rsidRDefault="0043614B" w:rsidP="003D219F">
            <w:pPr>
              <w:pStyle w:val="TableauPuce1"/>
            </w:pPr>
            <w:r w:rsidRPr="003D219F">
              <w:t>COVID-19 Prevention and response measures</w:t>
            </w:r>
          </w:p>
          <w:p w14:paraId="0DA08469" w14:textId="77777777" w:rsidR="0043614B" w:rsidRPr="00067E7A" w:rsidRDefault="0043614B" w:rsidP="003D219F">
            <w:pPr>
              <w:pStyle w:val="TableauPuce1"/>
            </w:pPr>
            <w:r w:rsidRPr="00067E7A">
              <w:t>Implementation and monitoring of the Environmental and Social Commitment Plan (ESCP)</w:t>
            </w:r>
          </w:p>
          <w:p w14:paraId="6204668A" w14:textId="77777777" w:rsidR="0043614B" w:rsidRPr="00067E7A" w:rsidRDefault="0043614B" w:rsidP="003D219F">
            <w:pPr>
              <w:pStyle w:val="TableauPuce1"/>
            </w:pPr>
            <w:r w:rsidRPr="00067E7A">
              <w:t xml:space="preserve">Development and implementation of the Stakeholder Engagement Plan (SEP) and its monitoring &amp; evaluation, </w:t>
            </w:r>
          </w:p>
          <w:p w14:paraId="5DDEB763" w14:textId="77777777" w:rsidR="0043614B" w:rsidRPr="00067E7A" w:rsidRDefault="0043614B" w:rsidP="003D219F">
            <w:pPr>
              <w:pStyle w:val="TableauPuce1"/>
            </w:pPr>
            <w:r w:rsidRPr="00067E7A">
              <w:t>Development and implementation of Labor Management Procedures (LMP)</w:t>
            </w:r>
          </w:p>
          <w:p w14:paraId="442E4973" w14:textId="77777777" w:rsidR="0043614B" w:rsidRPr="00067E7A" w:rsidRDefault="0043614B" w:rsidP="009D5AA1">
            <w:pPr>
              <w:pStyle w:val="TableauPuce1"/>
            </w:pPr>
            <w:r w:rsidRPr="00067E7A">
              <w:t>Mitigation, prevention and response on the SEA/SH front, assessment, development and implementation of the SEA/SH Action Plan</w:t>
            </w:r>
          </w:p>
          <w:p w14:paraId="3EC49D9D" w14:textId="3C00F574" w:rsidR="0043614B" w:rsidRPr="00067E7A" w:rsidRDefault="0043614B" w:rsidP="009D5AA1">
            <w:pPr>
              <w:pStyle w:val="TableauPuce1"/>
            </w:pPr>
            <w:r w:rsidRPr="00067E7A">
              <w:t>Health, safety and security risks, including risks related to road traffic in the zones surrounding schools</w:t>
            </w:r>
            <w:r w:rsidR="008B2355" w:rsidRPr="00067E7A">
              <w:t>/VETLs</w:t>
            </w:r>
            <w:r w:rsidRPr="00067E7A">
              <w:t xml:space="preserve"> with high pedestrian traffic </w:t>
            </w:r>
          </w:p>
          <w:p w14:paraId="17DF6BE6" w14:textId="56475A66" w:rsidR="0043614B" w:rsidRDefault="0043614B" w:rsidP="009D5AA1">
            <w:pPr>
              <w:pStyle w:val="TableauPuce1"/>
            </w:pPr>
            <w:r w:rsidRPr="00067E7A">
              <w:t>Project Grievance Mechanism to enable project‐affected people to file complaints that could be quickly addressed should they have any grievance in relation to the project.</w:t>
            </w:r>
          </w:p>
          <w:p w14:paraId="53526C80" w14:textId="211FB403" w:rsidR="00047759" w:rsidRPr="001F094E" w:rsidRDefault="001F094E" w:rsidP="009D5AA1">
            <w:pPr>
              <w:pStyle w:val="TableauPuce1"/>
            </w:pPr>
            <w:r w:rsidRPr="001F094E">
              <w:t>Development and implementation of a health care waste management plan</w:t>
            </w:r>
          </w:p>
          <w:p w14:paraId="713B248D" w14:textId="01E2280A" w:rsidR="0043614B" w:rsidRPr="00067E7A" w:rsidRDefault="0043614B" w:rsidP="009D5AA1">
            <w:pPr>
              <w:pStyle w:val="TableauPuce1"/>
            </w:pPr>
            <w:r w:rsidRPr="00067E7A">
              <w:t>Development and implementation of security risks assessment and security management plan</w:t>
            </w:r>
          </w:p>
          <w:p w14:paraId="5458192F" w14:textId="5E0748F2" w:rsidR="004F17DA" w:rsidRPr="00067E7A" w:rsidRDefault="004F17DA" w:rsidP="009D5AA1">
            <w:pPr>
              <w:pStyle w:val="TableauPuce1"/>
            </w:pPr>
            <w:r w:rsidRPr="00067E7A">
              <w:t xml:space="preserve">Development and implementation of </w:t>
            </w:r>
            <w:r w:rsidR="00CF1B12" w:rsidRPr="00067E7A">
              <w:t>IPPF/</w:t>
            </w:r>
            <w:r w:rsidRPr="00067E7A">
              <w:t>Indigenous Plan (IP)</w:t>
            </w:r>
          </w:p>
          <w:p w14:paraId="145C8E1B" w14:textId="44AE1D33" w:rsidR="0043614B" w:rsidRPr="00067E7A" w:rsidRDefault="0043614B" w:rsidP="009D5AA1">
            <w:pPr>
              <w:pStyle w:val="TableauPuce1"/>
              <w:rPr>
                <w:rFonts w:eastAsia="Times New Roman" w:cstheme="minorHAnsi"/>
                <w:bCs/>
                <w:iCs/>
              </w:rPr>
            </w:pPr>
            <w:r w:rsidRPr="00067E7A">
              <w:t>Capacity building in other specific aspects of assessment and implementation of environmental and social risk management practices, as identified through needs assessments of key project actors during project implementation.</w:t>
            </w:r>
          </w:p>
        </w:tc>
        <w:tc>
          <w:tcPr>
            <w:tcW w:w="3803" w:type="dxa"/>
            <w:shd w:val="clear" w:color="auto" w:fill="FFFFFF" w:themeFill="background1"/>
          </w:tcPr>
          <w:p w14:paraId="58240D7D" w14:textId="02FFD321" w:rsidR="0043614B" w:rsidRPr="003D219F" w:rsidRDefault="0043614B" w:rsidP="003D219F">
            <w:pPr>
              <w:pStyle w:val="Tableauparagraphe"/>
            </w:pPr>
            <w:r w:rsidRPr="003D219F">
              <w:t xml:space="preserve">ESF briefing, Training on COVID-19 Prevention and Response measures, ESCP and SEP: </w:t>
            </w:r>
            <w:r w:rsidR="00E5704D" w:rsidRPr="003D219F">
              <w:t>W</w:t>
            </w:r>
            <w:r w:rsidR="00601CFD" w:rsidRPr="003D219F">
              <w:t>ithin 1 (one) month after effective date</w:t>
            </w:r>
          </w:p>
          <w:p w14:paraId="3DC45369" w14:textId="4B8C8D5C" w:rsidR="0043614B" w:rsidRPr="00FD436F" w:rsidRDefault="0043614B" w:rsidP="003D219F">
            <w:pPr>
              <w:pStyle w:val="Tableauparagraphe"/>
              <w:rPr>
                <w:rFonts w:eastAsia="Times New Roman" w:cstheme="minorHAnsi"/>
                <w:bCs/>
                <w:iCs/>
              </w:rPr>
            </w:pPr>
            <w:r w:rsidRPr="003D219F">
              <w:t>Training on other subjects: as soon as possible after effectiveness and throughout project implementation</w:t>
            </w:r>
          </w:p>
        </w:tc>
        <w:tc>
          <w:tcPr>
            <w:tcW w:w="3895" w:type="dxa"/>
            <w:shd w:val="clear" w:color="auto" w:fill="FFFFFF" w:themeFill="background1"/>
          </w:tcPr>
          <w:p w14:paraId="3CCF90FC" w14:textId="3255AD97" w:rsidR="0043614B" w:rsidRPr="00FD436F" w:rsidRDefault="0043614B" w:rsidP="0043614B">
            <w:pPr>
              <w:keepLines/>
              <w:widowControl w:val="0"/>
              <w:jc w:val="both"/>
              <w:rPr>
                <w:rFonts w:eastAsia="Times New Roman" w:cstheme="minorHAnsi"/>
                <w:bCs/>
                <w:iCs/>
              </w:rPr>
            </w:pPr>
            <w:r>
              <w:rPr>
                <w:rFonts w:cstheme="minorHAnsi"/>
                <w:iCs/>
                <w:sz w:val="20"/>
                <w:szCs w:val="20"/>
              </w:rPr>
              <w:t>ME</w:t>
            </w:r>
            <w:r w:rsidR="0007740E">
              <w:rPr>
                <w:rFonts w:cstheme="minorHAnsi"/>
                <w:iCs/>
                <w:sz w:val="20"/>
                <w:szCs w:val="20"/>
              </w:rPr>
              <w:t>PC</w:t>
            </w:r>
            <w:r>
              <w:rPr>
                <w:rFonts w:cstheme="minorHAnsi"/>
                <w:iCs/>
                <w:sz w:val="20"/>
                <w:szCs w:val="20"/>
              </w:rPr>
              <w:t xml:space="preserve">/ </w:t>
            </w:r>
            <w:r w:rsidR="00D45DDB">
              <w:rPr>
                <w:rFonts w:cstheme="minorHAnsi"/>
                <w:iCs/>
                <w:sz w:val="20"/>
                <w:szCs w:val="20"/>
              </w:rPr>
              <w:t>PIU</w:t>
            </w:r>
            <w:r>
              <w:rPr>
                <w:rFonts w:cstheme="minorHAnsi"/>
                <w:iCs/>
                <w:sz w:val="20"/>
                <w:szCs w:val="20"/>
              </w:rPr>
              <w:t xml:space="preserve"> </w:t>
            </w:r>
          </w:p>
        </w:tc>
      </w:tr>
      <w:tr w:rsidR="003D219F" w:rsidRPr="00355A40" w14:paraId="541B6B3F" w14:textId="77777777" w:rsidTr="009D5AA1">
        <w:trPr>
          <w:trHeight w:val="377"/>
          <w:jc w:val="center"/>
        </w:trPr>
        <w:tc>
          <w:tcPr>
            <w:tcW w:w="737" w:type="dxa"/>
            <w:shd w:val="clear" w:color="auto" w:fill="FFFFFF" w:themeFill="background1"/>
          </w:tcPr>
          <w:p w14:paraId="614FC61B" w14:textId="77777777" w:rsidR="003D219F" w:rsidRPr="00355A40" w:rsidRDefault="003D219F" w:rsidP="00355A40">
            <w:pPr>
              <w:pStyle w:val="Tableauparagraphe"/>
            </w:pPr>
          </w:p>
        </w:tc>
        <w:tc>
          <w:tcPr>
            <w:tcW w:w="6307" w:type="dxa"/>
            <w:shd w:val="clear" w:color="auto" w:fill="FFFFFF" w:themeFill="background1"/>
          </w:tcPr>
          <w:p w14:paraId="4C6FF032" w14:textId="56733558" w:rsidR="003D219F" w:rsidRPr="00355A40" w:rsidRDefault="003D219F" w:rsidP="00355A40">
            <w:pPr>
              <w:pStyle w:val="Tableauparagraphe"/>
            </w:pPr>
            <w:r w:rsidRPr="00355A40">
              <w:t>PIU personnel assigned to the ESMF implementation shall be trained in CERC environmental and social management, including introduction to ESMF and subsequent instruments for CERC activities with potential environmental and social risks or impacts.</w:t>
            </w:r>
          </w:p>
        </w:tc>
        <w:tc>
          <w:tcPr>
            <w:tcW w:w="3803" w:type="dxa"/>
            <w:shd w:val="clear" w:color="auto" w:fill="FFFFFF" w:themeFill="background1"/>
          </w:tcPr>
          <w:p w14:paraId="7D5E87B3" w14:textId="27C5484B" w:rsidR="003D219F" w:rsidRPr="00355A40" w:rsidRDefault="003D219F" w:rsidP="00355A40">
            <w:pPr>
              <w:pStyle w:val="Tableauparagraphe"/>
            </w:pPr>
            <w:r w:rsidRPr="00355A40">
              <w:t>After activation of the CERC</w:t>
            </w:r>
          </w:p>
        </w:tc>
        <w:tc>
          <w:tcPr>
            <w:tcW w:w="3895" w:type="dxa"/>
            <w:shd w:val="clear" w:color="auto" w:fill="FFFFFF" w:themeFill="background1"/>
          </w:tcPr>
          <w:p w14:paraId="2E88E08E" w14:textId="77777777" w:rsidR="003D219F" w:rsidRPr="00355A40" w:rsidRDefault="003D219F" w:rsidP="00355A40">
            <w:pPr>
              <w:pStyle w:val="Tableauparagraphe"/>
            </w:pPr>
          </w:p>
        </w:tc>
      </w:tr>
      <w:tr w:rsidR="00692A2F" w:rsidRPr="00FD436F" w14:paraId="6A53080C" w14:textId="77777777" w:rsidTr="009D5AA1">
        <w:trPr>
          <w:trHeight w:val="377"/>
          <w:jc w:val="center"/>
        </w:trPr>
        <w:tc>
          <w:tcPr>
            <w:tcW w:w="737" w:type="dxa"/>
            <w:shd w:val="clear" w:color="auto" w:fill="FFFFFF" w:themeFill="background1"/>
          </w:tcPr>
          <w:p w14:paraId="20F44EF3" w14:textId="36EEBD3C" w:rsidR="00692A2F" w:rsidRPr="00FD436F" w:rsidRDefault="00692A2F" w:rsidP="00692A2F">
            <w:pPr>
              <w:keepLines/>
              <w:widowControl w:val="0"/>
              <w:jc w:val="both"/>
              <w:rPr>
                <w:rFonts w:eastAsia="Times New Roman" w:cstheme="minorHAnsi"/>
                <w:bCs/>
                <w:iCs/>
              </w:rPr>
            </w:pPr>
            <w:r>
              <w:rPr>
                <w:rFonts w:eastAsia="Times New Roman" w:cstheme="minorHAnsi"/>
                <w:bCs/>
                <w:iCs/>
              </w:rPr>
              <w:t>CS2</w:t>
            </w:r>
          </w:p>
        </w:tc>
        <w:tc>
          <w:tcPr>
            <w:tcW w:w="6307" w:type="dxa"/>
            <w:shd w:val="clear" w:color="auto" w:fill="FFFFFF" w:themeFill="background1"/>
          </w:tcPr>
          <w:p w14:paraId="357B46B3" w14:textId="70032E08" w:rsidR="00692A2F" w:rsidRDefault="00692A2F" w:rsidP="00FB27EF">
            <w:pPr>
              <w:pStyle w:val="Tableauparagraphe"/>
            </w:pPr>
            <w:r w:rsidRPr="006269B3">
              <w:t xml:space="preserve">Training sessions </w:t>
            </w:r>
            <w:r>
              <w:t>shall</w:t>
            </w:r>
            <w:r w:rsidRPr="006269B3">
              <w:t xml:space="preserve"> be organized for </w:t>
            </w:r>
            <w:r>
              <w:t xml:space="preserve">contractors, </w:t>
            </w:r>
            <w:r w:rsidRPr="006269B3">
              <w:t>laborers and other</w:t>
            </w:r>
            <w:r w:rsidR="00FB27EF">
              <w:t xml:space="preserve"> </w:t>
            </w:r>
            <w:r w:rsidRPr="006269B3">
              <w:t>employees working on project sites,</w:t>
            </w:r>
            <w:r>
              <w:t xml:space="preserve"> </w:t>
            </w:r>
            <w:r w:rsidRPr="00322DB3">
              <w:t>inspectorates’ officials</w:t>
            </w:r>
            <w:r w:rsidR="00346909">
              <w:t xml:space="preserve"> and workers</w:t>
            </w:r>
            <w:r w:rsidR="00A01822">
              <w:t xml:space="preserve"> (from Health, Education, Social, etc.)</w:t>
            </w:r>
            <w:r w:rsidRPr="00322DB3">
              <w:t>, and management committees</w:t>
            </w:r>
            <w:r w:rsidR="00346909">
              <w:t xml:space="preserve"> (</w:t>
            </w:r>
            <w:r w:rsidR="00EC7AE0">
              <w:t>schools/VETLs, health centers)</w:t>
            </w:r>
            <w:r w:rsidRPr="00322DB3">
              <w:t xml:space="preserve"> who </w:t>
            </w:r>
            <w:r>
              <w:t>shall</w:t>
            </w:r>
            <w:r w:rsidRPr="00322DB3">
              <w:t xml:space="preserve"> be responsible for field level implementation of the project.</w:t>
            </w:r>
            <w:r w:rsidRPr="006269B3">
              <w:t xml:space="preserve"> </w:t>
            </w:r>
            <w:r>
              <w:t xml:space="preserve">In addition, </w:t>
            </w:r>
            <w:r w:rsidRPr="006269B3">
              <w:t>sensitization</w:t>
            </w:r>
            <w:r>
              <w:t xml:space="preserve"> </w:t>
            </w:r>
            <w:r w:rsidRPr="006269B3">
              <w:t xml:space="preserve">programs </w:t>
            </w:r>
            <w:r>
              <w:t xml:space="preserve">shall be organized </w:t>
            </w:r>
            <w:r w:rsidRPr="006269B3">
              <w:t>for neighboring populations on the following aspects:</w:t>
            </w:r>
          </w:p>
          <w:p w14:paraId="135E8D71" w14:textId="01626AEC" w:rsidR="00692A2F" w:rsidRPr="006269B3" w:rsidRDefault="00692A2F" w:rsidP="00FB27EF">
            <w:pPr>
              <w:pStyle w:val="TableauPuce1"/>
            </w:pPr>
            <w:r w:rsidRPr="006269B3">
              <w:t>Personal protective equipment (PPE)</w:t>
            </w:r>
          </w:p>
          <w:p w14:paraId="2D64D48F" w14:textId="2838093C" w:rsidR="00692A2F" w:rsidRPr="006269B3" w:rsidRDefault="00692A2F" w:rsidP="00FB27EF">
            <w:pPr>
              <w:pStyle w:val="TableauPuce1"/>
            </w:pPr>
            <w:r w:rsidRPr="006269B3">
              <w:t>Work-site risk management</w:t>
            </w:r>
          </w:p>
          <w:p w14:paraId="103B47BF" w14:textId="55ABB88A" w:rsidR="00692A2F" w:rsidRPr="006269B3" w:rsidRDefault="00692A2F" w:rsidP="00FB27EF">
            <w:pPr>
              <w:pStyle w:val="TableauPuce1"/>
            </w:pPr>
            <w:r w:rsidRPr="006269B3">
              <w:t>Occupational accident prevention</w:t>
            </w:r>
          </w:p>
          <w:p w14:paraId="4D3C1D0A" w14:textId="428E8B35" w:rsidR="00692A2F" w:rsidRPr="006269B3" w:rsidRDefault="00692A2F" w:rsidP="00FB27EF">
            <w:pPr>
              <w:pStyle w:val="TableauPuce1"/>
            </w:pPr>
            <w:r w:rsidRPr="006269B3">
              <w:t>Hygiene, safety and environment (HSE) regulations</w:t>
            </w:r>
            <w:r>
              <w:t>, including COVID-19 prevention and response measures</w:t>
            </w:r>
          </w:p>
          <w:p w14:paraId="1632DA62" w14:textId="3B80E9EF" w:rsidR="00692A2F" w:rsidRPr="006269B3" w:rsidRDefault="00692A2F" w:rsidP="00FB27EF">
            <w:pPr>
              <w:pStyle w:val="TableauPuce1"/>
            </w:pPr>
            <w:r w:rsidRPr="006269B3">
              <w:t>Solid and liquid waste management</w:t>
            </w:r>
          </w:p>
          <w:p w14:paraId="37F09B99" w14:textId="700141CA" w:rsidR="00692A2F" w:rsidRPr="006269B3" w:rsidRDefault="00692A2F" w:rsidP="00FB27EF">
            <w:pPr>
              <w:pStyle w:val="TableauPuce1"/>
            </w:pPr>
            <w:r w:rsidRPr="006269B3">
              <w:t>Emergency preparedness and response</w:t>
            </w:r>
          </w:p>
          <w:p w14:paraId="248E06B0" w14:textId="41D074B9" w:rsidR="00692A2F" w:rsidRPr="006269B3" w:rsidRDefault="00692A2F" w:rsidP="00FB27EF">
            <w:pPr>
              <w:pStyle w:val="TableauPuce1"/>
            </w:pPr>
            <w:r w:rsidRPr="006269B3">
              <w:t>STI/HIV AIDS sensitization</w:t>
            </w:r>
          </w:p>
          <w:p w14:paraId="5785861C" w14:textId="449E83AA" w:rsidR="00692A2F" w:rsidRPr="00FD436F" w:rsidRDefault="00692A2F" w:rsidP="00FB27EF">
            <w:pPr>
              <w:pStyle w:val="TableauPuce1"/>
              <w:rPr>
                <w:rFonts w:eastAsia="Times New Roman"/>
                <w:bCs/>
                <w:iCs/>
              </w:rPr>
            </w:pPr>
            <w:r w:rsidRPr="006269B3">
              <w:t>GBV/SEA/SH sensitization, Codes of Conduct, GM,</w:t>
            </w:r>
            <w:r>
              <w:t xml:space="preserve"> SEA/SH </w:t>
            </w:r>
            <w:r w:rsidRPr="006269B3">
              <w:t>services available and other mitigation measures put</w:t>
            </w:r>
            <w:r w:rsidR="00FB27EF">
              <w:t xml:space="preserve"> </w:t>
            </w:r>
            <w:r w:rsidRPr="006269B3">
              <w:t>in place by the project both for workers and the community</w:t>
            </w:r>
            <w:r>
              <w:rPr>
                <w:rFonts w:eastAsia="Times New Roman"/>
                <w:bCs/>
                <w:i/>
                <w:iCs/>
              </w:rPr>
              <w:t>.</w:t>
            </w:r>
          </w:p>
        </w:tc>
        <w:tc>
          <w:tcPr>
            <w:tcW w:w="3803" w:type="dxa"/>
            <w:shd w:val="clear" w:color="auto" w:fill="FFFFFF" w:themeFill="background1"/>
          </w:tcPr>
          <w:p w14:paraId="3876C51A" w14:textId="64E24134" w:rsidR="00692A2F" w:rsidRPr="00FD436F" w:rsidRDefault="00692A2F" w:rsidP="003D219F">
            <w:pPr>
              <w:pStyle w:val="Tableauparagraphe"/>
              <w:rPr>
                <w:rFonts w:eastAsia="Times New Roman"/>
                <w:bCs/>
                <w:iCs/>
              </w:rPr>
            </w:pPr>
            <w:r>
              <w:rPr>
                <w:lang w:val="en-GB"/>
              </w:rPr>
              <w:t>As</w:t>
            </w:r>
            <w:r w:rsidRPr="00615189">
              <w:t xml:space="preserve"> soon as possible after project effectiveness and throughout project implementation.</w:t>
            </w:r>
          </w:p>
        </w:tc>
        <w:tc>
          <w:tcPr>
            <w:tcW w:w="3895" w:type="dxa"/>
            <w:shd w:val="clear" w:color="auto" w:fill="FFFFFF" w:themeFill="background1"/>
          </w:tcPr>
          <w:p w14:paraId="3F74439F" w14:textId="11B20188" w:rsidR="00692A2F" w:rsidRPr="00FD436F" w:rsidRDefault="00692A2F" w:rsidP="00692A2F">
            <w:pPr>
              <w:keepLines/>
              <w:widowControl w:val="0"/>
              <w:jc w:val="both"/>
              <w:rPr>
                <w:rFonts w:eastAsia="Times New Roman" w:cstheme="minorHAnsi"/>
                <w:bCs/>
                <w:iCs/>
              </w:rPr>
            </w:pPr>
            <w:r>
              <w:rPr>
                <w:rFonts w:cstheme="minorHAnsi"/>
                <w:iCs/>
                <w:sz w:val="20"/>
                <w:szCs w:val="20"/>
              </w:rPr>
              <w:t>ME</w:t>
            </w:r>
            <w:r w:rsidR="0007740E">
              <w:rPr>
                <w:rFonts w:cstheme="minorHAnsi"/>
                <w:iCs/>
                <w:sz w:val="20"/>
                <w:szCs w:val="20"/>
              </w:rPr>
              <w:t>PC</w:t>
            </w:r>
            <w:r>
              <w:rPr>
                <w:rFonts w:cstheme="minorHAnsi"/>
                <w:iCs/>
                <w:sz w:val="20"/>
                <w:szCs w:val="20"/>
              </w:rPr>
              <w:t xml:space="preserve">/ </w:t>
            </w:r>
            <w:r w:rsidR="00D45DDB">
              <w:rPr>
                <w:rFonts w:cstheme="minorHAnsi"/>
                <w:iCs/>
                <w:sz w:val="20"/>
                <w:szCs w:val="20"/>
              </w:rPr>
              <w:t>PIU</w:t>
            </w:r>
            <w:r>
              <w:rPr>
                <w:rFonts w:cstheme="minorHAnsi"/>
                <w:iCs/>
                <w:sz w:val="20"/>
                <w:szCs w:val="20"/>
              </w:rPr>
              <w:t xml:space="preserve"> </w:t>
            </w:r>
          </w:p>
        </w:tc>
      </w:tr>
    </w:tbl>
    <w:p w14:paraId="7E83BD29" w14:textId="77777777" w:rsidR="0064742C" w:rsidRPr="00FD436F" w:rsidRDefault="0064742C" w:rsidP="00FB27EF"/>
    <w:sectPr w:rsidR="0064742C" w:rsidRPr="00FD436F" w:rsidSect="007D782D">
      <w:headerReference w:type="even" r:id="rId17"/>
      <w:headerReference w:type="default" r:id="rId18"/>
      <w:footerReference w:type="default" r:id="rId19"/>
      <w:headerReference w:type="first" r:id="rId2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08682" w14:textId="77777777" w:rsidR="00FF2A79" w:rsidRDefault="00FF2A79" w:rsidP="00E35CB2">
      <w:r>
        <w:separator/>
      </w:r>
    </w:p>
    <w:p w14:paraId="02A4E0FA" w14:textId="77777777" w:rsidR="00FF2A79" w:rsidRDefault="00FF2A79"/>
    <w:p w14:paraId="0A578FB2" w14:textId="77777777" w:rsidR="00FF2A79" w:rsidRDefault="00FF2A79"/>
    <w:p w14:paraId="5C304DF8" w14:textId="77777777" w:rsidR="00FF2A79" w:rsidRDefault="00FF2A79"/>
    <w:p w14:paraId="442C1DAB" w14:textId="77777777" w:rsidR="00FF2A79" w:rsidRDefault="00FF2A79"/>
  </w:endnote>
  <w:endnote w:type="continuationSeparator" w:id="0">
    <w:p w14:paraId="67D4788E" w14:textId="77777777" w:rsidR="00FF2A79" w:rsidRDefault="00FF2A79" w:rsidP="00E35CB2">
      <w:r>
        <w:continuationSeparator/>
      </w:r>
    </w:p>
    <w:p w14:paraId="5D21DB4B" w14:textId="77777777" w:rsidR="00FF2A79" w:rsidRDefault="00FF2A79"/>
    <w:p w14:paraId="76E6A1D0" w14:textId="77777777" w:rsidR="00FF2A79" w:rsidRDefault="00FF2A79"/>
    <w:p w14:paraId="08DA930A" w14:textId="77777777" w:rsidR="00FF2A79" w:rsidRDefault="00FF2A79"/>
    <w:p w14:paraId="44479E74" w14:textId="77777777" w:rsidR="00FF2A79" w:rsidRDefault="00FF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1DB0" w14:textId="77777777" w:rsidR="00185819" w:rsidRDefault="00185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7A3225" w:rsidRDefault="007A32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7A3225" w:rsidRDefault="007A3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A6DF" w14:textId="77777777" w:rsidR="00185819" w:rsidRDefault="001858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7A3225" w:rsidRDefault="007A32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2528C48D" w14:textId="77777777" w:rsidR="007A3225" w:rsidRDefault="007A32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56308" w14:textId="77777777" w:rsidR="00FF2A79" w:rsidRDefault="00FF2A79" w:rsidP="00E35CB2">
      <w:r>
        <w:separator/>
      </w:r>
    </w:p>
    <w:p w14:paraId="6EC4E40C" w14:textId="77777777" w:rsidR="00FF2A79" w:rsidRDefault="00FF2A79"/>
    <w:p w14:paraId="126D9EC4" w14:textId="77777777" w:rsidR="00FF2A79" w:rsidRDefault="00FF2A79"/>
    <w:p w14:paraId="1270892B" w14:textId="77777777" w:rsidR="00FF2A79" w:rsidRDefault="00FF2A79"/>
    <w:p w14:paraId="024AE06F" w14:textId="77777777" w:rsidR="00FF2A79" w:rsidRDefault="00FF2A79"/>
  </w:footnote>
  <w:footnote w:type="continuationSeparator" w:id="0">
    <w:p w14:paraId="05A6739D" w14:textId="77777777" w:rsidR="00FF2A79" w:rsidRDefault="00FF2A79" w:rsidP="00E35CB2">
      <w:r>
        <w:continuationSeparator/>
      </w:r>
    </w:p>
    <w:p w14:paraId="5DAE02EF" w14:textId="77777777" w:rsidR="00FF2A79" w:rsidRDefault="00FF2A79"/>
    <w:p w14:paraId="77B36DCD" w14:textId="77777777" w:rsidR="00FF2A79" w:rsidRDefault="00FF2A79"/>
    <w:p w14:paraId="39884FA7" w14:textId="77777777" w:rsidR="00FF2A79" w:rsidRDefault="00FF2A79"/>
    <w:p w14:paraId="3D648F03" w14:textId="77777777" w:rsidR="00FF2A79" w:rsidRDefault="00FF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7A3225" w:rsidRDefault="007A3225">
    <w:pPr>
      <w:pStyle w:val="Header"/>
    </w:pPr>
    <w:r>
      <w:rPr>
        <w:noProof/>
        <w:lang w:val="fr-FR" w:eastAsia="fr-FR"/>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7A3225" w:rsidRDefault="007A322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v:stroke joinstyle="round"/>
              <o:lock v:ext="edit" shapetype="t"/>
              <v:textbox style="mso-fit-shape-to-text:t">
                <w:txbxContent>
                  <w:p w14:paraId="3728469E" w14:textId="77777777" w:rsidR="007A3225" w:rsidRDefault="007A322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579" w14:textId="09853E82" w:rsidR="007A3225" w:rsidRPr="00FC62E5" w:rsidRDefault="007A3225"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lang w:val="fr-FR" w:eastAsia="fr-FR"/>
      </w:rPr>
      <mc:AlternateContent>
        <mc:Choice Requires="wps">
          <w:drawing>
            <wp:anchor distT="0" distB="0" distL="114300" distR="114300" simplePos="0" relativeHeight="251703296"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7A3225" w:rsidRDefault="007A322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JF01PQ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50028BF5" w14:textId="77777777" w:rsidR="007A3225" w:rsidRDefault="007A322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C62E5">
      <w:rPr>
        <w:rFonts w:cstheme="minorHAnsi"/>
        <w:b/>
        <w:smallCaps/>
        <w:color w:val="808080" w:themeColor="background1" w:themeShade="80"/>
        <w:sz w:val="18"/>
        <w:szCs w:val="18"/>
      </w:rPr>
      <w:t xml:space="preserve">WORLD BANK – ENVIRONMENTAL AND SOCIAL COMMITMENT PLAN </w:t>
    </w:r>
    <w:r>
      <w:rPr>
        <w:rFonts w:cstheme="minorHAnsi"/>
        <w:b/>
        <w:smallCaps/>
        <w:color w:val="808080" w:themeColor="background1" w:themeShade="80"/>
        <w:sz w:val="18"/>
        <w:szCs w:val="18"/>
      </w:rPr>
      <w:t>- March 2021</w:t>
    </w:r>
  </w:p>
  <w:p w14:paraId="46808772" w14:textId="77777777" w:rsidR="007A3225" w:rsidRPr="00FC62E5" w:rsidRDefault="007A3225"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4AF7400B" w:rsidR="007A3225" w:rsidRDefault="007A3225">
    <w:pPr>
      <w:pStyle w:val="Header"/>
    </w:pPr>
    <w:r>
      <w:rPr>
        <w:noProof/>
        <w:lang w:val="fr-FR" w:eastAsia="fr-FR"/>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7A3225" w:rsidRDefault="007A322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QKAdgw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29774884" w14:textId="77777777" w:rsidR="007A3225" w:rsidRDefault="007A322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7A3225" w:rsidRDefault="007A3225">
    <w:pPr>
      <w:pStyle w:val="Header"/>
    </w:pPr>
  </w:p>
  <w:p w14:paraId="32CFDEFF" w14:textId="77777777" w:rsidR="007A3225" w:rsidRDefault="007A3225"/>
  <w:p w14:paraId="4D3CEA79" w14:textId="77777777" w:rsidR="007A3225" w:rsidRDefault="007A3225"/>
  <w:p w14:paraId="1D350BEF" w14:textId="77777777" w:rsidR="007A3225" w:rsidRDefault="007A3225"/>
  <w:p w14:paraId="5668CBEA" w14:textId="77777777" w:rsidR="007A3225" w:rsidRDefault="007A322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986" w14:textId="5D14195E" w:rsidR="007A3225" w:rsidRPr="00595020" w:rsidRDefault="007A3225" w:rsidP="00FA0A88">
    <w:pPr>
      <w:pStyle w:val="Header"/>
      <w:rPr>
        <w:rFonts w:cstheme="minorHAnsi"/>
        <w:b/>
        <w:color w:val="808080" w:themeColor="background1" w:themeShade="80"/>
        <w:sz w:val="16"/>
        <w:szCs w:val="16"/>
      </w:rPr>
    </w:pPr>
    <w:r w:rsidRPr="00FA0A88">
      <w:rPr>
        <w:rFonts w:cstheme="minorHAnsi"/>
        <w:b/>
        <w:noProof/>
        <w:sz w:val="18"/>
        <w:szCs w:val="18"/>
        <w:lang w:val="fr-FR" w:eastAsia="fr-FR"/>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0788EBEF" w14:textId="77777777" w:rsidR="007A3225" w:rsidRDefault="007A322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7A3225" w:rsidRDefault="007A322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95020">
      <w:rPr>
        <w:rFonts w:cstheme="minorHAnsi"/>
        <w:b/>
        <w:smallCaps/>
        <w:color w:val="808080" w:themeColor="background1" w:themeShade="80"/>
        <w:sz w:val="18"/>
        <w:szCs w:val="18"/>
      </w:rPr>
      <w:t>World Bank – Environmental and Social Commitment Plan (ESCP)</w:t>
    </w:r>
    <w:r w:rsidRPr="00595020">
      <w:rPr>
        <w:rFonts w:cstheme="minorHAnsi"/>
        <w:b/>
        <w:color w:val="808080" w:themeColor="background1" w:themeShade="80"/>
        <w:sz w:val="16"/>
        <w:szCs w:val="16"/>
      </w:rPr>
      <w:tab/>
    </w:r>
    <w:r w:rsidRPr="00595020">
      <w:rPr>
        <w:rFonts w:cstheme="minorHAnsi"/>
        <w:b/>
        <w:color w:val="808080" w:themeColor="background1" w:themeShade="80"/>
        <w:sz w:val="16"/>
        <w:szCs w:val="16"/>
      </w:rPr>
      <w:tab/>
    </w:r>
  </w:p>
  <w:p w14:paraId="52898C3A" w14:textId="50AE8202" w:rsidR="007A3225" w:rsidRPr="00595020" w:rsidRDefault="007A3225" w:rsidP="000A0AEB">
    <w:pPr>
      <w:pStyle w:val="Header"/>
      <w:rPr>
        <w:rFonts w:cstheme="minorHAnsi"/>
        <w:b/>
        <w:color w:val="808080" w:themeColor="background1" w:themeShade="80"/>
        <w:sz w:val="16"/>
        <w:szCs w:val="16"/>
      </w:rPr>
    </w:pPr>
  </w:p>
  <w:p w14:paraId="2A88191C" w14:textId="77777777" w:rsidR="007A3225" w:rsidRPr="00595020" w:rsidRDefault="007A3225"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7A3225" w:rsidRDefault="007A3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185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3CF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4D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BC68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E4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865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01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F47F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8C0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40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DA47EC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F6D79"/>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15:restartNumberingAfterBreak="0">
    <w:nsid w:val="362034EC"/>
    <w:multiLevelType w:val="hybridMultilevel"/>
    <w:tmpl w:val="F62C9FA4"/>
    <w:lvl w:ilvl="0" w:tplc="F6827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FE0FA3"/>
    <w:multiLevelType w:val="hybridMultilevel"/>
    <w:tmpl w:val="D18A33CA"/>
    <w:lvl w:ilvl="0" w:tplc="4C025D62">
      <w:start w:val="1"/>
      <w:numFmt w:val="lowerLetter"/>
      <w:pStyle w:val="Tablelistnumber"/>
      <w:lvlText w:val="(%1)"/>
      <w:lvlJc w:val="right"/>
      <w:pPr>
        <w:ind w:left="717" w:hanging="360"/>
      </w:pPr>
      <w:rPr>
        <w:rFonts w:ascii="Calibri" w:hAnsi="Calibri" w:cs="Times New Roman" w:hint="default"/>
        <w:b w:val="0"/>
        <w:bCs w:val="0"/>
        <w:i w:val="0"/>
        <w:iCs w:val="0"/>
        <w:caps w:val="0"/>
        <w:strike w:val="0"/>
        <w:dstrike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345B6"/>
    <w:multiLevelType w:val="hybridMultilevel"/>
    <w:tmpl w:val="21EE13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D434A"/>
    <w:multiLevelType w:val="hybridMultilevel"/>
    <w:tmpl w:val="E6BC6AD8"/>
    <w:lvl w:ilvl="0" w:tplc="5F84AD0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9AB6B9B"/>
    <w:multiLevelType w:val="hybridMultilevel"/>
    <w:tmpl w:val="20B8B32E"/>
    <w:lvl w:ilvl="0" w:tplc="947E4EFC">
      <w:start w:val="1"/>
      <w:numFmt w:val="decimal"/>
      <w:lvlText w:val="%1."/>
      <w:lvlJc w:val="left"/>
      <w:pPr>
        <w:ind w:left="-274" w:hanging="360"/>
      </w:pPr>
      <w:rPr>
        <w:rFonts w:asciiTheme="minorHAnsi" w:hAnsiTheme="minorHAnsi" w:hint="default"/>
        <w:b w:val="0"/>
        <w:bCs/>
        <w:i w:val="0"/>
        <w:iCs w:val="0"/>
        <w:sz w:val="22"/>
        <w:szCs w:val="22"/>
      </w:rPr>
    </w:lvl>
    <w:lvl w:ilvl="1" w:tplc="AAA871D4" w:tentative="1">
      <w:start w:val="1"/>
      <w:numFmt w:val="lowerLetter"/>
      <w:lvlText w:val="%2."/>
      <w:lvlJc w:val="left"/>
      <w:pPr>
        <w:ind w:left="446" w:hanging="360"/>
      </w:pPr>
    </w:lvl>
    <w:lvl w:ilvl="2" w:tplc="69207056" w:tentative="1">
      <w:start w:val="1"/>
      <w:numFmt w:val="lowerRoman"/>
      <w:lvlText w:val="%3."/>
      <w:lvlJc w:val="right"/>
      <w:pPr>
        <w:ind w:left="1166" w:hanging="180"/>
      </w:pPr>
    </w:lvl>
    <w:lvl w:ilvl="3" w:tplc="17D49ABA" w:tentative="1">
      <w:start w:val="1"/>
      <w:numFmt w:val="decimal"/>
      <w:lvlText w:val="%4."/>
      <w:lvlJc w:val="left"/>
      <w:pPr>
        <w:ind w:left="1886" w:hanging="360"/>
      </w:pPr>
    </w:lvl>
    <w:lvl w:ilvl="4" w:tplc="654C92E2" w:tentative="1">
      <w:start w:val="1"/>
      <w:numFmt w:val="lowerLetter"/>
      <w:lvlText w:val="%5."/>
      <w:lvlJc w:val="left"/>
      <w:pPr>
        <w:ind w:left="2606" w:hanging="360"/>
      </w:pPr>
    </w:lvl>
    <w:lvl w:ilvl="5" w:tplc="641E62C8" w:tentative="1">
      <w:start w:val="1"/>
      <w:numFmt w:val="lowerRoman"/>
      <w:lvlText w:val="%6."/>
      <w:lvlJc w:val="right"/>
      <w:pPr>
        <w:ind w:left="3326" w:hanging="180"/>
      </w:pPr>
    </w:lvl>
    <w:lvl w:ilvl="6" w:tplc="FB76AA40" w:tentative="1">
      <w:start w:val="1"/>
      <w:numFmt w:val="decimal"/>
      <w:lvlText w:val="%7."/>
      <w:lvlJc w:val="left"/>
      <w:pPr>
        <w:ind w:left="4046" w:hanging="360"/>
      </w:pPr>
    </w:lvl>
    <w:lvl w:ilvl="7" w:tplc="F0F806CC" w:tentative="1">
      <w:start w:val="1"/>
      <w:numFmt w:val="lowerLetter"/>
      <w:lvlText w:val="%8."/>
      <w:lvlJc w:val="left"/>
      <w:pPr>
        <w:ind w:left="4766" w:hanging="360"/>
      </w:pPr>
    </w:lvl>
    <w:lvl w:ilvl="8" w:tplc="007258CE" w:tentative="1">
      <w:start w:val="1"/>
      <w:numFmt w:val="lowerRoman"/>
      <w:lvlText w:val="%9."/>
      <w:lvlJc w:val="right"/>
      <w:pPr>
        <w:ind w:left="5486" w:hanging="180"/>
      </w:pPr>
    </w:lvl>
  </w:abstractNum>
  <w:abstractNum w:abstractNumId="3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4730F7"/>
    <w:multiLevelType w:val="hybridMultilevel"/>
    <w:tmpl w:val="6B86537E"/>
    <w:lvl w:ilvl="0" w:tplc="040C0001">
      <w:start w:val="1"/>
      <w:numFmt w:val="bullet"/>
      <w:lvlText w:val=""/>
      <w:lvlJc w:val="left"/>
      <w:pPr>
        <w:ind w:left="583" w:hanging="360"/>
      </w:pPr>
      <w:rPr>
        <w:rFonts w:ascii="Symbol" w:hAnsi="Symbol" w:hint="default"/>
      </w:rPr>
    </w:lvl>
    <w:lvl w:ilvl="1" w:tplc="040C0003" w:tentative="1">
      <w:start w:val="1"/>
      <w:numFmt w:val="bullet"/>
      <w:lvlText w:val="o"/>
      <w:lvlJc w:val="left"/>
      <w:pPr>
        <w:ind w:left="1303" w:hanging="360"/>
      </w:pPr>
      <w:rPr>
        <w:rFonts w:ascii="Courier New" w:hAnsi="Courier New" w:cs="Courier New" w:hint="default"/>
      </w:rPr>
    </w:lvl>
    <w:lvl w:ilvl="2" w:tplc="040C0005" w:tentative="1">
      <w:start w:val="1"/>
      <w:numFmt w:val="bullet"/>
      <w:lvlText w:val=""/>
      <w:lvlJc w:val="left"/>
      <w:pPr>
        <w:ind w:left="2023" w:hanging="360"/>
      </w:pPr>
      <w:rPr>
        <w:rFonts w:ascii="Wingdings" w:hAnsi="Wingdings" w:hint="default"/>
      </w:rPr>
    </w:lvl>
    <w:lvl w:ilvl="3" w:tplc="040C0001" w:tentative="1">
      <w:start w:val="1"/>
      <w:numFmt w:val="bullet"/>
      <w:lvlText w:val=""/>
      <w:lvlJc w:val="left"/>
      <w:pPr>
        <w:ind w:left="2743" w:hanging="360"/>
      </w:pPr>
      <w:rPr>
        <w:rFonts w:ascii="Symbol" w:hAnsi="Symbol" w:hint="default"/>
      </w:rPr>
    </w:lvl>
    <w:lvl w:ilvl="4" w:tplc="040C0003" w:tentative="1">
      <w:start w:val="1"/>
      <w:numFmt w:val="bullet"/>
      <w:lvlText w:val="o"/>
      <w:lvlJc w:val="left"/>
      <w:pPr>
        <w:ind w:left="3463" w:hanging="360"/>
      </w:pPr>
      <w:rPr>
        <w:rFonts w:ascii="Courier New" w:hAnsi="Courier New" w:cs="Courier New" w:hint="default"/>
      </w:rPr>
    </w:lvl>
    <w:lvl w:ilvl="5" w:tplc="040C0005" w:tentative="1">
      <w:start w:val="1"/>
      <w:numFmt w:val="bullet"/>
      <w:lvlText w:val=""/>
      <w:lvlJc w:val="left"/>
      <w:pPr>
        <w:ind w:left="4183" w:hanging="360"/>
      </w:pPr>
      <w:rPr>
        <w:rFonts w:ascii="Wingdings" w:hAnsi="Wingdings" w:hint="default"/>
      </w:rPr>
    </w:lvl>
    <w:lvl w:ilvl="6" w:tplc="040C0001" w:tentative="1">
      <w:start w:val="1"/>
      <w:numFmt w:val="bullet"/>
      <w:lvlText w:val=""/>
      <w:lvlJc w:val="left"/>
      <w:pPr>
        <w:ind w:left="4903" w:hanging="360"/>
      </w:pPr>
      <w:rPr>
        <w:rFonts w:ascii="Symbol" w:hAnsi="Symbol" w:hint="default"/>
      </w:rPr>
    </w:lvl>
    <w:lvl w:ilvl="7" w:tplc="040C0003" w:tentative="1">
      <w:start w:val="1"/>
      <w:numFmt w:val="bullet"/>
      <w:lvlText w:val="o"/>
      <w:lvlJc w:val="left"/>
      <w:pPr>
        <w:ind w:left="5623" w:hanging="360"/>
      </w:pPr>
      <w:rPr>
        <w:rFonts w:ascii="Courier New" w:hAnsi="Courier New" w:cs="Courier New" w:hint="default"/>
      </w:rPr>
    </w:lvl>
    <w:lvl w:ilvl="8" w:tplc="040C0005" w:tentative="1">
      <w:start w:val="1"/>
      <w:numFmt w:val="bullet"/>
      <w:lvlText w:val=""/>
      <w:lvlJc w:val="left"/>
      <w:pPr>
        <w:ind w:left="6343" w:hanging="360"/>
      </w:pPr>
      <w:rPr>
        <w:rFonts w:ascii="Wingdings" w:hAnsi="Wingdings" w:hint="default"/>
      </w:rPr>
    </w:lvl>
  </w:abstractNum>
  <w:abstractNum w:abstractNumId="3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74445"/>
    <w:multiLevelType w:val="hybridMultilevel"/>
    <w:tmpl w:val="F9E44BF6"/>
    <w:lvl w:ilvl="0" w:tplc="8C30A1B2">
      <w:start w:val="1"/>
      <w:numFmt w:val="bullet"/>
      <w:pStyle w:val="TableauPuce1"/>
      <w:lvlText w:val="·"/>
      <w:lvlJc w:val="left"/>
      <w:pPr>
        <w:ind w:left="720" w:hanging="360"/>
      </w:pPr>
      <w:rPr>
        <w:rFonts w:ascii="Symbol" w:hAnsi="Symbol" w:cs="Wingdings" w:hint="default"/>
        <w:caps w:val="0"/>
        <w:strike w:val="0"/>
        <w:dstrike w:val="0"/>
        <w:vanish w:val="0"/>
        <w:sz w:val="18"/>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866E0"/>
    <w:multiLevelType w:val="hybridMultilevel"/>
    <w:tmpl w:val="92AC6D78"/>
    <w:lvl w:ilvl="0" w:tplc="B53A00D2">
      <w:start w:val="1"/>
      <w:numFmt w:val="decimal"/>
      <w:pStyle w:val="Puce1"/>
      <w:lvlText w:val="%1."/>
      <w:lvlJc w:val="left"/>
      <w:pPr>
        <w:ind w:left="-351" w:hanging="360"/>
      </w:pPr>
      <w:rPr>
        <w:rFonts w:hint="default"/>
      </w:rPr>
    </w:lvl>
    <w:lvl w:ilvl="1" w:tplc="040C0019" w:tentative="1">
      <w:start w:val="1"/>
      <w:numFmt w:val="lowerLetter"/>
      <w:lvlText w:val="%2."/>
      <w:lvlJc w:val="left"/>
      <w:pPr>
        <w:ind w:left="369" w:hanging="360"/>
      </w:p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37"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B59EF"/>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0"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A7E59"/>
    <w:multiLevelType w:val="hybridMultilevel"/>
    <w:tmpl w:val="F6E43AE2"/>
    <w:lvl w:ilvl="0" w:tplc="5D40E1C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B7098"/>
    <w:multiLevelType w:val="hybridMultilevel"/>
    <w:tmpl w:val="796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5" w15:restartNumberingAfterBreak="0">
    <w:nsid w:val="7E0D1B34"/>
    <w:multiLevelType w:val="hybridMultilevel"/>
    <w:tmpl w:val="E76EE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E746BD4"/>
    <w:multiLevelType w:val="hybridMultilevel"/>
    <w:tmpl w:val="B48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41"/>
  </w:num>
  <w:num w:numId="4">
    <w:abstractNumId w:val="38"/>
  </w:num>
  <w:num w:numId="5">
    <w:abstractNumId w:val="32"/>
  </w:num>
  <w:num w:numId="6">
    <w:abstractNumId w:val="44"/>
  </w:num>
  <w:num w:numId="7">
    <w:abstractNumId w:val="14"/>
  </w:num>
  <w:num w:numId="8">
    <w:abstractNumId w:val="24"/>
  </w:num>
  <w:num w:numId="9">
    <w:abstractNumId w:val="13"/>
  </w:num>
  <w:num w:numId="10">
    <w:abstractNumId w:val="35"/>
  </w:num>
  <w:num w:numId="11">
    <w:abstractNumId w:val="23"/>
  </w:num>
  <w:num w:numId="12">
    <w:abstractNumId w:val="18"/>
  </w:num>
  <w:num w:numId="13">
    <w:abstractNumId w:val="17"/>
  </w:num>
  <w:num w:numId="14">
    <w:abstractNumId w:val="37"/>
  </w:num>
  <w:num w:numId="15">
    <w:abstractNumId w:val="34"/>
  </w:num>
  <w:num w:numId="16">
    <w:abstractNumId w:val="42"/>
  </w:num>
  <w:num w:numId="17">
    <w:abstractNumId w:val="30"/>
  </w:num>
  <w:num w:numId="18">
    <w:abstractNumId w:val="11"/>
  </w:num>
  <w:num w:numId="19">
    <w:abstractNumId w:val="25"/>
  </w:num>
  <w:num w:numId="20">
    <w:abstractNumId w:val="16"/>
  </w:num>
  <w:num w:numId="21">
    <w:abstractNumId w:val="10"/>
  </w:num>
  <w:num w:numId="22">
    <w:abstractNumId w:val="46"/>
  </w:num>
  <w:num w:numId="23">
    <w:abstractNumId w:val="31"/>
  </w:num>
  <w:num w:numId="24">
    <w:abstractNumId w:val="27"/>
  </w:num>
  <w:num w:numId="25">
    <w:abstractNumId w:val="12"/>
  </w:num>
  <w:num w:numId="26">
    <w:abstractNumId w:val="26"/>
  </w:num>
  <w:num w:numId="27">
    <w:abstractNumId w:val="15"/>
  </w:num>
  <w:num w:numId="28">
    <w:abstractNumId w:val="20"/>
  </w:num>
  <w:num w:numId="29">
    <w:abstractNumId w:val="39"/>
  </w:num>
  <w:num w:numId="30">
    <w:abstractNumId w:val="19"/>
  </w:num>
  <w:num w:numId="31">
    <w:abstractNumId w:val="36"/>
  </w:num>
  <w:num w:numId="32">
    <w:abstractNumId w:val="28"/>
  </w:num>
  <w:num w:numId="33">
    <w:abstractNumId w:val="43"/>
  </w:num>
  <w:num w:numId="34">
    <w:abstractNumId w:val="29"/>
  </w:num>
  <w:num w:numId="35">
    <w:abstractNumId w:val="45"/>
  </w:num>
  <w:num w:numId="36">
    <w:abstractNumId w:val="28"/>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33"/>
  </w:num>
  <w:num w:numId="48">
    <w:abstractNumId w:val="33"/>
  </w:num>
  <w:num w:numId="49">
    <w:abstractNumId w:val="22"/>
  </w:num>
  <w:num w:numId="50">
    <w:abstractNumId w:val="22"/>
    <w:lvlOverride w:ilvl="0">
      <w:startOverride w:val="1"/>
    </w:lvlOverride>
  </w:num>
  <w:num w:numId="51">
    <w:abstractNumId w:val="2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473"/>
    <w:rsid w:val="00001870"/>
    <w:rsid w:val="0000259E"/>
    <w:rsid w:val="00002B96"/>
    <w:rsid w:val="000034DD"/>
    <w:rsid w:val="000046CD"/>
    <w:rsid w:val="000047F7"/>
    <w:rsid w:val="000050B7"/>
    <w:rsid w:val="00005607"/>
    <w:rsid w:val="0000664A"/>
    <w:rsid w:val="000070F5"/>
    <w:rsid w:val="0001001E"/>
    <w:rsid w:val="00011356"/>
    <w:rsid w:val="00011E4D"/>
    <w:rsid w:val="00011EBF"/>
    <w:rsid w:val="000124AF"/>
    <w:rsid w:val="000132C7"/>
    <w:rsid w:val="00013663"/>
    <w:rsid w:val="00015A47"/>
    <w:rsid w:val="0001758C"/>
    <w:rsid w:val="00021A5C"/>
    <w:rsid w:val="00022929"/>
    <w:rsid w:val="00022B03"/>
    <w:rsid w:val="00022CE4"/>
    <w:rsid w:val="000235F5"/>
    <w:rsid w:val="0002583A"/>
    <w:rsid w:val="00026C40"/>
    <w:rsid w:val="000301E4"/>
    <w:rsid w:val="00031A5D"/>
    <w:rsid w:val="000339AF"/>
    <w:rsid w:val="00033CA0"/>
    <w:rsid w:val="00035A68"/>
    <w:rsid w:val="000372A7"/>
    <w:rsid w:val="00037682"/>
    <w:rsid w:val="00040506"/>
    <w:rsid w:val="00040743"/>
    <w:rsid w:val="00040A43"/>
    <w:rsid w:val="00043673"/>
    <w:rsid w:val="00044394"/>
    <w:rsid w:val="00045478"/>
    <w:rsid w:val="00045550"/>
    <w:rsid w:val="000461B7"/>
    <w:rsid w:val="000468DE"/>
    <w:rsid w:val="00047464"/>
    <w:rsid w:val="0004747D"/>
    <w:rsid w:val="00047759"/>
    <w:rsid w:val="00047A48"/>
    <w:rsid w:val="00050913"/>
    <w:rsid w:val="00050BF8"/>
    <w:rsid w:val="00051F1D"/>
    <w:rsid w:val="00052A0B"/>
    <w:rsid w:val="00052EED"/>
    <w:rsid w:val="00053A41"/>
    <w:rsid w:val="00053C5B"/>
    <w:rsid w:val="0005481F"/>
    <w:rsid w:val="000551A1"/>
    <w:rsid w:val="00055275"/>
    <w:rsid w:val="000559D9"/>
    <w:rsid w:val="000561A4"/>
    <w:rsid w:val="000564F8"/>
    <w:rsid w:val="000566F5"/>
    <w:rsid w:val="00056F94"/>
    <w:rsid w:val="00061659"/>
    <w:rsid w:val="000623D2"/>
    <w:rsid w:val="00062DD0"/>
    <w:rsid w:val="000630E1"/>
    <w:rsid w:val="0006389C"/>
    <w:rsid w:val="00064EB4"/>
    <w:rsid w:val="00064F38"/>
    <w:rsid w:val="00066E30"/>
    <w:rsid w:val="00066E4A"/>
    <w:rsid w:val="00067482"/>
    <w:rsid w:val="00067505"/>
    <w:rsid w:val="00067674"/>
    <w:rsid w:val="00067E7A"/>
    <w:rsid w:val="00070E9D"/>
    <w:rsid w:val="00071F61"/>
    <w:rsid w:val="00072071"/>
    <w:rsid w:val="00073BF9"/>
    <w:rsid w:val="0007536E"/>
    <w:rsid w:val="000768CA"/>
    <w:rsid w:val="0007740E"/>
    <w:rsid w:val="00080B18"/>
    <w:rsid w:val="00080C55"/>
    <w:rsid w:val="0008173A"/>
    <w:rsid w:val="000826DF"/>
    <w:rsid w:val="00083076"/>
    <w:rsid w:val="00085C13"/>
    <w:rsid w:val="00086A56"/>
    <w:rsid w:val="000878C2"/>
    <w:rsid w:val="00090AD8"/>
    <w:rsid w:val="00090CA9"/>
    <w:rsid w:val="0009509F"/>
    <w:rsid w:val="000964A4"/>
    <w:rsid w:val="00097191"/>
    <w:rsid w:val="00097831"/>
    <w:rsid w:val="000A0AEB"/>
    <w:rsid w:val="000A1215"/>
    <w:rsid w:val="000A1E89"/>
    <w:rsid w:val="000A32A6"/>
    <w:rsid w:val="000A3764"/>
    <w:rsid w:val="000A37F9"/>
    <w:rsid w:val="000A38EB"/>
    <w:rsid w:val="000A419E"/>
    <w:rsid w:val="000A4E4B"/>
    <w:rsid w:val="000A55FC"/>
    <w:rsid w:val="000A5F5F"/>
    <w:rsid w:val="000B0093"/>
    <w:rsid w:val="000B0D99"/>
    <w:rsid w:val="000B1513"/>
    <w:rsid w:val="000B21B3"/>
    <w:rsid w:val="000B2D39"/>
    <w:rsid w:val="000B351C"/>
    <w:rsid w:val="000B59D7"/>
    <w:rsid w:val="000B5B4F"/>
    <w:rsid w:val="000B6C87"/>
    <w:rsid w:val="000B7699"/>
    <w:rsid w:val="000C0CEF"/>
    <w:rsid w:val="000C15CE"/>
    <w:rsid w:val="000C403A"/>
    <w:rsid w:val="000C4140"/>
    <w:rsid w:val="000C42E8"/>
    <w:rsid w:val="000D043C"/>
    <w:rsid w:val="000D3122"/>
    <w:rsid w:val="000D32EF"/>
    <w:rsid w:val="000D3946"/>
    <w:rsid w:val="000E1C4A"/>
    <w:rsid w:val="000E66FA"/>
    <w:rsid w:val="000E7C93"/>
    <w:rsid w:val="000F00B8"/>
    <w:rsid w:val="000F0DFB"/>
    <w:rsid w:val="000F2E62"/>
    <w:rsid w:val="000F3E99"/>
    <w:rsid w:val="000F4833"/>
    <w:rsid w:val="000F7D8D"/>
    <w:rsid w:val="00100272"/>
    <w:rsid w:val="00102036"/>
    <w:rsid w:val="0010447F"/>
    <w:rsid w:val="00104FD0"/>
    <w:rsid w:val="00105FB5"/>
    <w:rsid w:val="00106028"/>
    <w:rsid w:val="001061BC"/>
    <w:rsid w:val="00107D6F"/>
    <w:rsid w:val="00112CAE"/>
    <w:rsid w:val="00114482"/>
    <w:rsid w:val="001155CD"/>
    <w:rsid w:val="00115CCC"/>
    <w:rsid w:val="00116188"/>
    <w:rsid w:val="001206B7"/>
    <w:rsid w:val="00121165"/>
    <w:rsid w:val="00122EB9"/>
    <w:rsid w:val="001234C4"/>
    <w:rsid w:val="00124165"/>
    <w:rsid w:val="0012625A"/>
    <w:rsid w:val="00126D90"/>
    <w:rsid w:val="00130AA3"/>
    <w:rsid w:val="00130BF0"/>
    <w:rsid w:val="00133B8D"/>
    <w:rsid w:val="00133BC8"/>
    <w:rsid w:val="00134E29"/>
    <w:rsid w:val="0014113C"/>
    <w:rsid w:val="00141DF1"/>
    <w:rsid w:val="00142A09"/>
    <w:rsid w:val="00142B1E"/>
    <w:rsid w:val="001434D8"/>
    <w:rsid w:val="00144EDC"/>
    <w:rsid w:val="001465A4"/>
    <w:rsid w:val="00146A78"/>
    <w:rsid w:val="00146AF0"/>
    <w:rsid w:val="00147DBF"/>
    <w:rsid w:val="00150763"/>
    <w:rsid w:val="0015236B"/>
    <w:rsid w:val="001527D2"/>
    <w:rsid w:val="00152CC3"/>
    <w:rsid w:val="00153F19"/>
    <w:rsid w:val="00154D0A"/>
    <w:rsid w:val="00156686"/>
    <w:rsid w:val="001578A7"/>
    <w:rsid w:val="00160D50"/>
    <w:rsid w:val="00160DEE"/>
    <w:rsid w:val="00160E37"/>
    <w:rsid w:val="00161ACA"/>
    <w:rsid w:val="0016519A"/>
    <w:rsid w:val="00165F8C"/>
    <w:rsid w:val="0016676D"/>
    <w:rsid w:val="00170421"/>
    <w:rsid w:val="00170978"/>
    <w:rsid w:val="00170A10"/>
    <w:rsid w:val="00170E95"/>
    <w:rsid w:val="001710F9"/>
    <w:rsid w:val="001722BA"/>
    <w:rsid w:val="001735CA"/>
    <w:rsid w:val="0017533F"/>
    <w:rsid w:val="00175BD5"/>
    <w:rsid w:val="00176341"/>
    <w:rsid w:val="0017699B"/>
    <w:rsid w:val="00177A87"/>
    <w:rsid w:val="00180640"/>
    <w:rsid w:val="00181C52"/>
    <w:rsid w:val="00181DB4"/>
    <w:rsid w:val="00181E72"/>
    <w:rsid w:val="00182299"/>
    <w:rsid w:val="00182820"/>
    <w:rsid w:val="001829A8"/>
    <w:rsid w:val="00183D42"/>
    <w:rsid w:val="00184899"/>
    <w:rsid w:val="00184C34"/>
    <w:rsid w:val="00185819"/>
    <w:rsid w:val="00185CDD"/>
    <w:rsid w:val="001860BD"/>
    <w:rsid w:val="001878F9"/>
    <w:rsid w:val="00187955"/>
    <w:rsid w:val="00190AF9"/>
    <w:rsid w:val="001916A5"/>
    <w:rsid w:val="00197015"/>
    <w:rsid w:val="001978AB"/>
    <w:rsid w:val="00197972"/>
    <w:rsid w:val="00197E5B"/>
    <w:rsid w:val="001A1149"/>
    <w:rsid w:val="001A2128"/>
    <w:rsid w:val="001A2DEE"/>
    <w:rsid w:val="001A44BB"/>
    <w:rsid w:val="001A7BD5"/>
    <w:rsid w:val="001B0662"/>
    <w:rsid w:val="001B12D6"/>
    <w:rsid w:val="001B3CE7"/>
    <w:rsid w:val="001B452C"/>
    <w:rsid w:val="001B517D"/>
    <w:rsid w:val="001B5562"/>
    <w:rsid w:val="001C31F7"/>
    <w:rsid w:val="001C410B"/>
    <w:rsid w:val="001C6203"/>
    <w:rsid w:val="001D0721"/>
    <w:rsid w:val="001D2432"/>
    <w:rsid w:val="001D2466"/>
    <w:rsid w:val="001D2719"/>
    <w:rsid w:val="001D3636"/>
    <w:rsid w:val="001D4EE0"/>
    <w:rsid w:val="001D509D"/>
    <w:rsid w:val="001D672E"/>
    <w:rsid w:val="001D75C8"/>
    <w:rsid w:val="001D78A8"/>
    <w:rsid w:val="001E0351"/>
    <w:rsid w:val="001E0DDF"/>
    <w:rsid w:val="001E3715"/>
    <w:rsid w:val="001E4607"/>
    <w:rsid w:val="001E53D0"/>
    <w:rsid w:val="001E6A47"/>
    <w:rsid w:val="001E72D4"/>
    <w:rsid w:val="001E7326"/>
    <w:rsid w:val="001F05A7"/>
    <w:rsid w:val="001F094E"/>
    <w:rsid w:val="001F3344"/>
    <w:rsid w:val="001F3F63"/>
    <w:rsid w:val="001F4109"/>
    <w:rsid w:val="001F42F4"/>
    <w:rsid w:val="001F4D43"/>
    <w:rsid w:val="001F532B"/>
    <w:rsid w:val="001F58D6"/>
    <w:rsid w:val="001F6128"/>
    <w:rsid w:val="001F7658"/>
    <w:rsid w:val="002000B2"/>
    <w:rsid w:val="0020071F"/>
    <w:rsid w:val="002016E4"/>
    <w:rsid w:val="00202D39"/>
    <w:rsid w:val="00202FE4"/>
    <w:rsid w:val="002034B8"/>
    <w:rsid w:val="002034F1"/>
    <w:rsid w:val="00207409"/>
    <w:rsid w:val="002078ED"/>
    <w:rsid w:val="00207C68"/>
    <w:rsid w:val="0021213A"/>
    <w:rsid w:val="00214C7A"/>
    <w:rsid w:val="00220589"/>
    <w:rsid w:val="00221631"/>
    <w:rsid w:val="002216CD"/>
    <w:rsid w:val="002234E7"/>
    <w:rsid w:val="00223773"/>
    <w:rsid w:val="00223B4B"/>
    <w:rsid w:val="00225A31"/>
    <w:rsid w:val="00225D76"/>
    <w:rsid w:val="00227B9B"/>
    <w:rsid w:val="00230427"/>
    <w:rsid w:val="002307C4"/>
    <w:rsid w:val="002308BD"/>
    <w:rsid w:val="00231540"/>
    <w:rsid w:val="0023341B"/>
    <w:rsid w:val="002409D4"/>
    <w:rsid w:val="00241AEB"/>
    <w:rsid w:val="00241C62"/>
    <w:rsid w:val="00243720"/>
    <w:rsid w:val="00246285"/>
    <w:rsid w:val="0024647E"/>
    <w:rsid w:val="00250A05"/>
    <w:rsid w:val="0025190F"/>
    <w:rsid w:val="00252DFA"/>
    <w:rsid w:val="00253388"/>
    <w:rsid w:val="002536D4"/>
    <w:rsid w:val="002538C5"/>
    <w:rsid w:val="00253DF3"/>
    <w:rsid w:val="00256E8D"/>
    <w:rsid w:val="00257AAA"/>
    <w:rsid w:val="00257B85"/>
    <w:rsid w:val="00260210"/>
    <w:rsid w:val="002645DA"/>
    <w:rsid w:val="00266460"/>
    <w:rsid w:val="00267A3B"/>
    <w:rsid w:val="00267AA9"/>
    <w:rsid w:val="00267B1B"/>
    <w:rsid w:val="002707BE"/>
    <w:rsid w:val="002729D6"/>
    <w:rsid w:val="002745B5"/>
    <w:rsid w:val="00275063"/>
    <w:rsid w:val="00276158"/>
    <w:rsid w:val="0027634E"/>
    <w:rsid w:val="00280EE5"/>
    <w:rsid w:val="00281D47"/>
    <w:rsid w:val="0028256B"/>
    <w:rsid w:val="00284116"/>
    <w:rsid w:val="00284ABA"/>
    <w:rsid w:val="00286AAE"/>
    <w:rsid w:val="002900CC"/>
    <w:rsid w:val="0029168A"/>
    <w:rsid w:val="0029223F"/>
    <w:rsid w:val="00294BCB"/>
    <w:rsid w:val="0029535A"/>
    <w:rsid w:val="00295D3E"/>
    <w:rsid w:val="0029679B"/>
    <w:rsid w:val="00297AB6"/>
    <w:rsid w:val="002A07CC"/>
    <w:rsid w:val="002A0C04"/>
    <w:rsid w:val="002A33C0"/>
    <w:rsid w:val="002A67AD"/>
    <w:rsid w:val="002A690B"/>
    <w:rsid w:val="002A76A8"/>
    <w:rsid w:val="002B04DB"/>
    <w:rsid w:val="002B066F"/>
    <w:rsid w:val="002B1B67"/>
    <w:rsid w:val="002B3D55"/>
    <w:rsid w:val="002B5411"/>
    <w:rsid w:val="002B5F5D"/>
    <w:rsid w:val="002B6244"/>
    <w:rsid w:val="002B78FC"/>
    <w:rsid w:val="002B7BD6"/>
    <w:rsid w:val="002B7C7E"/>
    <w:rsid w:val="002C143C"/>
    <w:rsid w:val="002C14D1"/>
    <w:rsid w:val="002C2291"/>
    <w:rsid w:val="002C2F8A"/>
    <w:rsid w:val="002C4801"/>
    <w:rsid w:val="002C5A09"/>
    <w:rsid w:val="002C7822"/>
    <w:rsid w:val="002C7ADE"/>
    <w:rsid w:val="002D017A"/>
    <w:rsid w:val="002D0BAA"/>
    <w:rsid w:val="002D18DD"/>
    <w:rsid w:val="002D3006"/>
    <w:rsid w:val="002D36AF"/>
    <w:rsid w:val="002D4AA2"/>
    <w:rsid w:val="002D5141"/>
    <w:rsid w:val="002D5209"/>
    <w:rsid w:val="002D5E3A"/>
    <w:rsid w:val="002D7A50"/>
    <w:rsid w:val="002D7B18"/>
    <w:rsid w:val="002E1042"/>
    <w:rsid w:val="002E12EC"/>
    <w:rsid w:val="002E1A31"/>
    <w:rsid w:val="002E40F0"/>
    <w:rsid w:val="002E45B4"/>
    <w:rsid w:val="002E55FE"/>
    <w:rsid w:val="002E675E"/>
    <w:rsid w:val="002E6D37"/>
    <w:rsid w:val="002E7323"/>
    <w:rsid w:val="002E7419"/>
    <w:rsid w:val="002E7851"/>
    <w:rsid w:val="002E78F2"/>
    <w:rsid w:val="002F0B51"/>
    <w:rsid w:val="002F2876"/>
    <w:rsid w:val="002F28D4"/>
    <w:rsid w:val="002F5A88"/>
    <w:rsid w:val="002F64CF"/>
    <w:rsid w:val="00301D4F"/>
    <w:rsid w:val="00304353"/>
    <w:rsid w:val="00304827"/>
    <w:rsid w:val="00305BCF"/>
    <w:rsid w:val="00305E49"/>
    <w:rsid w:val="003108D8"/>
    <w:rsid w:val="00310A80"/>
    <w:rsid w:val="003116E3"/>
    <w:rsid w:val="00311C2B"/>
    <w:rsid w:val="00312CC6"/>
    <w:rsid w:val="003133C9"/>
    <w:rsid w:val="00314CC0"/>
    <w:rsid w:val="003152EE"/>
    <w:rsid w:val="00316C77"/>
    <w:rsid w:val="00316E2F"/>
    <w:rsid w:val="003229C5"/>
    <w:rsid w:val="00323471"/>
    <w:rsid w:val="00325619"/>
    <w:rsid w:val="003259FB"/>
    <w:rsid w:val="00325A2C"/>
    <w:rsid w:val="0032654C"/>
    <w:rsid w:val="00330AA1"/>
    <w:rsid w:val="00331885"/>
    <w:rsid w:val="00331E89"/>
    <w:rsid w:val="00332D6E"/>
    <w:rsid w:val="00332FCC"/>
    <w:rsid w:val="0033368F"/>
    <w:rsid w:val="00336288"/>
    <w:rsid w:val="00336703"/>
    <w:rsid w:val="00342FFB"/>
    <w:rsid w:val="0034334E"/>
    <w:rsid w:val="00346909"/>
    <w:rsid w:val="00347F05"/>
    <w:rsid w:val="0035198D"/>
    <w:rsid w:val="00352D91"/>
    <w:rsid w:val="00354AD9"/>
    <w:rsid w:val="00354F95"/>
    <w:rsid w:val="00355819"/>
    <w:rsid w:val="00355A40"/>
    <w:rsid w:val="003570EB"/>
    <w:rsid w:val="00357BC6"/>
    <w:rsid w:val="003600CB"/>
    <w:rsid w:val="0036097D"/>
    <w:rsid w:val="00363913"/>
    <w:rsid w:val="00364B2D"/>
    <w:rsid w:val="00365612"/>
    <w:rsid w:val="00365763"/>
    <w:rsid w:val="00367F16"/>
    <w:rsid w:val="0037259C"/>
    <w:rsid w:val="00373F93"/>
    <w:rsid w:val="0037539E"/>
    <w:rsid w:val="00375BD0"/>
    <w:rsid w:val="00377019"/>
    <w:rsid w:val="00380080"/>
    <w:rsid w:val="00383C2C"/>
    <w:rsid w:val="003851E2"/>
    <w:rsid w:val="0038605C"/>
    <w:rsid w:val="00387998"/>
    <w:rsid w:val="003933CE"/>
    <w:rsid w:val="00395873"/>
    <w:rsid w:val="00397346"/>
    <w:rsid w:val="003974D6"/>
    <w:rsid w:val="003A0090"/>
    <w:rsid w:val="003A139D"/>
    <w:rsid w:val="003A2FF0"/>
    <w:rsid w:val="003A4CF7"/>
    <w:rsid w:val="003A5B44"/>
    <w:rsid w:val="003A5DCC"/>
    <w:rsid w:val="003B3260"/>
    <w:rsid w:val="003B384E"/>
    <w:rsid w:val="003B399E"/>
    <w:rsid w:val="003B479A"/>
    <w:rsid w:val="003B4881"/>
    <w:rsid w:val="003B56C0"/>
    <w:rsid w:val="003B5E96"/>
    <w:rsid w:val="003B7C73"/>
    <w:rsid w:val="003C0FFF"/>
    <w:rsid w:val="003C1A0D"/>
    <w:rsid w:val="003C1D4C"/>
    <w:rsid w:val="003C2002"/>
    <w:rsid w:val="003C48DB"/>
    <w:rsid w:val="003C7547"/>
    <w:rsid w:val="003C7A18"/>
    <w:rsid w:val="003D18E1"/>
    <w:rsid w:val="003D219F"/>
    <w:rsid w:val="003D32E2"/>
    <w:rsid w:val="003D354D"/>
    <w:rsid w:val="003D40F5"/>
    <w:rsid w:val="003D52FF"/>
    <w:rsid w:val="003D7187"/>
    <w:rsid w:val="003D78D1"/>
    <w:rsid w:val="003E1520"/>
    <w:rsid w:val="003E1D7B"/>
    <w:rsid w:val="003E41FE"/>
    <w:rsid w:val="003E6028"/>
    <w:rsid w:val="003E6299"/>
    <w:rsid w:val="003F09FC"/>
    <w:rsid w:val="003F0F80"/>
    <w:rsid w:val="003F15D9"/>
    <w:rsid w:val="003F4792"/>
    <w:rsid w:val="003F51D0"/>
    <w:rsid w:val="003F5BEF"/>
    <w:rsid w:val="003F7918"/>
    <w:rsid w:val="0040015F"/>
    <w:rsid w:val="004003D6"/>
    <w:rsid w:val="00401DF5"/>
    <w:rsid w:val="00401FA9"/>
    <w:rsid w:val="0040278B"/>
    <w:rsid w:val="00402C16"/>
    <w:rsid w:val="00402D3F"/>
    <w:rsid w:val="00403D18"/>
    <w:rsid w:val="00403DF5"/>
    <w:rsid w:val="00404812"/>
    <w:rsid w:val="004075D2"/>
    <w:rsid w:val="00412912"/>
    <w:rsid w:val="004137A2"/>
    <w:rsid w:val="0041418E"/>
    <w:rsid w:val="0041462B"/>
    <w:rsid w:val="004148C7"/>
    <w:rsid w:val="00416C8B"/>
    <w:rsid w:val="004173F6"/>
    <w:rsid w:val="00417D70"/>
    <w:rsid w:val="00420BAE"/>
    <w:rsid w:val="00420C94"/>
    <w:rsid w:val="00421ECE"/>
    <w:rsid w:val="004222F1"/>
    <w:rsid w:val="0042248C"/>
    <w:rsid w:val="00422BDD"/>
    <w:rsid w:val="00423785"/>
    <w:rsid w:val="00423CAC"/>
    <w:rsid w:val="00424064"/>
    <w:rsid w:val="00425CD3"/>
    <w:rsid w:val="00425DA2"/>
    <w:rsid w:val="00426620"/>
    <w:rsid w:val="00427244"/>
    <w:rsid w:val="0042787D"/>
    <w:rsid w:val="0043065D"/>
    <w:rsid w:val="00430880"/>
    <w:rsid w:val="00433B26"/>
    <w:rsid w:val="00434394"/>
    <w:rsid w:val="00434916"/>
    <w:rsid w:val="00435AB7"/>
    <w:rsid w:val="0043614B"/>
    <w:rsid w:val="004404E3"/>
    <w:rsid w:val="004472E6"/>
    <w:rsid w:val="0045080E"/>
    <w:rsid w:val="00451105"/>
    <w:rsid w:val="00453BEB"/>
    <w:rsid w:val="00454F03"/>
    <w:rsid w:val="004612CC"/>
    <w:rsid w:val="0046130D"/>
    <w:rsid w:val="00462622"/>
    <w:rsid w:val="004626CF"/>
    <w:rsid w:val="004628F9"/>
    <w:rsid w:val="00462FB5"/>
    <w:rsid w:val="0046390A"/>
    <w:rsid w:val="004650CC"/>
    <w:rsid w:val="00465356"/>
    <w:rsid w:val="0046580A"/>
    <w:rsid w:val="0046582A"/>
    <w:rsid w:val="004669C5"/>
    <w:rsid w:val="00470040"/>
    <w:rsid w:val="00470964"/>
    <w:rsid w:val="00471255"/>
    <w:rsid w:val="004728A0"/>
    <w:rsid w:val="00474745"/>
    <w:rsid w:val="00474A4D"/>
    <w:rsid w:val="00474BE5"/>
    <w:rsid w:val="00474ED2"/>
    <w:rsid w:val="0047550F"/>
    <w:rsid w:val="00475A9D"/>
    <w:rsid w:val="00475D41"/>
    <w:rsid w:val="00475DE9"/>
    <w:rsid w:val="004768B9"/>
    <w:rsid w:val="00477ACC"/>
    <w:rsid w:val="00482475"/>
    <w:rsid w:val="00484356"/>
    <w:rsid w:val="00484A88"/>
    <w:rsid w:val="00484FEC"/>
    <w:rsid w:val="00485B8E"/>
    <w:rsid w:val="004860F7"/>
    <w:rsid w:val="00486D43"/>
    <w:rsid w:val="0048715B"/>
    <w:rsid w:val="00490363"/>
    <w:rsid w:val="0049039A"/>
    <w:rsid w:val="004904F8"/>
    <w:rsid w:val="004909BA"/>
    <w:rsid w:val="00490B6F"/>
    <w:rsid w:val="00490CED"/>
    <w:rsid w:val="00491701"/>
    <w:rsid w:val="004918E4"/>
    <w:rsid w:val="00492135"/>
    <w:rsid w:val="00492173"/>
    <w:rsid w:val="00492B7D"/>
    <w:rsid w:val="00492CC0"/>
    <w:rsid w:val="00493FB9"/>
    <w:rsid w:val="00494EE2"/>
    <w:rsid w:val="00496A4C"/>
    <w:rsid w:val="004973A4"/>
    <w:rsid w:val="00497F9A"/>
    <w:rsid w:val="004A09A0"/>
    <w:rsid w:val="004A449E"/>
    <w:rsid w:val="004A4B6F"/>
    <w:rsid w:val="004A5380"/>
    <w:rsid w:val="004A5481"/>
    <w:rsid w:val="004A7DCB"/>
    <w:rsid w:val="004B006E"/>
    <w:rsid w:val="004B0E09"/>
    <w:rsid w:val="004B2920"/>
    <w:rsid w:val="004B5968"/>
    <w:rsid w:val="004B5B25"/>
    <w:rsid w:val="004B75CD"/>
    <w:rsid w:val="004C0884"/>
    <w:rsid w:val="004C0EB7"/>
    <w:rsid w:val="004C649D"/>
    <w:rsid w:val="004C681B"/>
    <w:rsid w:val="004C76D1"/>
    <w:rsid w:val="004D012A"/>
    <w:rsid w:val="004D0539"/>
    <w:rsid w:val="004D214F"/>
    <w:rsid w:val="004D3A88"/>
    <w:rsid w:val="004D5823"/>
    <w:rsid w:val="004D5FEB"/>
    <w:rsid w:val="004D60D3"/>
    <w:rsid w:val="004D65A4"/>
    <w:rsid w:val="004D759F"/>
    <w:rsid w:val="004D7C69"/>
    <w:rsid w:val="004E383D"/>
    <w:rsid w:val="004E49C7"/>
    <w:rsid w:val="004E51B0"/>
    <w:rsid w:val="004E5289"/>
    <w:rsid w:val="004E68EF"/>
    <w:rsid w:val="004E6CD3"/>
    <w:rsid w:val="004E7CEA"/>
    <w:rsid w:val="004F1184"/>
    <w:rsid w:val="004F17DA"/>
    <w:rsid w:val="004F1E6E"/>
    <w:rsid w:val="004F33CD"/>
    <w:rsid w:val="004F3EBE"/>
    <w:rsid w:val="004F56F7"/>
    <w:rsid w:val="004F5C4E"/>
    <w:rsid w:val="004F77BD"/>
    <w:rsid w:val="00500191"/>
    <w:rsid w:val="00500F0C"/>
    <w:rsid w:val="00501AA7"/>
    <w:rsid w:val="00502173"/>
    <w:rsid w:val="0050296F"/>
    <w:rsid w:val="005031FD"/>
    <w:rsid w:val="00503F93"/>
    <w:rsid w:val="00506545"/>
    <w:rsid w:val="00506C68"/>
    <w:rsid w:val="005073F3"/>
    <w:rsid w:val="005074CC"/>
    <w:rsid w:val="00510150"/>
    <w:rsid w:val="00515CBA"/>
    <w:rsid w:val="00516C39"/>
    <w:rsid w:val="005171A2"/>
    <w:rsid w:val="0051763B"/>
    <w:rsid w:val="005177E9"/>
    <w:rsid w:val="00520E71"/>
    <w:rsid w:val="00524D42"/>
    <w:rsid w:val="005257C3"/>
    <w:rsid w:val="00527754"/>
    <w:rsid w:val="00527764"/>
    <w:rsid w:val="0053072C"/>
    <w:rsid w:val="0053356E"/>
    <w:rsid w:val="00535C7C"/>
    <w:rsid w:val="00536689"/>
    <w:rsid w:val="00540593"/>
    <w:rsid w:val="00541AD5"/>
    <w:rsid w:val="00541EC6"/>
    <w:rsid w:val="005433C4"/>
    <w:rsid w:val="0054447F"/>
    <w:rsid w:val="00545C67"/>
    <w:rsid w:val="005461F5"/>
    <w:rsid w:val="0054704C"/>
    <w:rsid w:val="00547DD1"/>
    <w:rsid w:val="00550C43"/>
    <w:rsid w:val="00550E29"/>
    <w:rsid w:val="0055127F"/>
    <w:rsid w:val="00551BDB"/>
    <w:rsid w:val="00554415"/>
    <w:rsid w:val="005551B4"/>
    <w:rsid w:val="005557DB"/>
    <w:rsid w:val="00556513"/>
    <w:rsid w:val="00556C53"/>
    <w:rsid w:val="005576DB"/>
    <w:rsid w:val="00560102"/>
    <w:rsid w:val="0056116B"/>
    <w:rsid w:val="00561847"/>
    <w:rsid w:val="00561AFB"/>
    <w:rsid w:val="00562414"/>
    <w:rsid w:val="00562998"/>
    <w:rsid w:val="00563557"/>
    <w:rsid w:val="00564CBB"/>
    <w:rsid w:val="00565A07"/>
    <w:rsid w:val="00566872"/>
    <w:rsid w:val="005669FC"/>
    <w:rsid w:val="005676F5"/>
    <w:rsid w:val="005679A4"/>
    <w:rsid w:val="00570B1A"/>
    <w:rsid w:val="0057122F"/>
    <w:rsid w:val="00572448"/>
    <w:rsid w:val="00572F61"/>
    <w:rsid w:val="0057317C"/>
    <w:rsid w:val="00574819"/>
    <w:rsid w:val="00575258"/>
    <w:rsid w:val="00576631"/>
    <w:rsid w:val="00576B69"/>
    <w:rsid w:val="00576FD9"/>
    <w:rsid w:val="00581E6D"/>
    <w:rsid w:val="00582ACF"/>
    <w:rsid w:val="00585553"/>
    <w:rsid w:val="005872CE"/>
    <w:rsid w:val="005879CC"/>
    <w:rsid w:val="00587A3E"/>
    <w:rsid w:val="00587F5D"/>
    <w:rsid w:val="005901D7"/>
    <w:rsid w:val="0059226B"/>
    <w:rsid w:val="005931B6"/>
    <w:rsid w:val="00593C8E"/>
    <w:rsid w:val="00594483"/>
    <w:rsid w:val="00594521"/>
    <w:rsid w:val="00595020"/>
    <w:rsid w:val="00596FF9"/>
    <w:rsid w:val="005A11DD"/>
    <w:rsid w:val="005A5900"/>
    <w:rsid w:val="005A611E"/>
    <w:rsid w:val="005A65C1"/>
    <w:rsid w:val="005B1E83"/>
    <w:rsid w:val="005B2073"/>
    <w:rsid w:val="005B4AC0"/>
    <w:rsid w:val="005B4E74"/>
    <w:rsid w:val="005B51D8"/>
    <w:rsid w:val="005B54EF"/>
    <w:rsid w:val="005B5951"/>
    <w:rsid w:val="005B7EC2"/>
    <w:rsid w:val="005C010E"/>
    <w:rsid w:val="005C0FA3"/>
    <w:rsid w:val="005C40FB"/>
    <w:rsid w:val="005C4926"/>
    <w:rsid w:val="005C5F8B"/>
    <w:rsid w:val="005C7F04"/>
    <w:rsid w:val="005D09FE"/>
    <w:rsid w:val="005D0E06"/>
    <w:rsid w:val="005D0EB3"/>
    <w:rsid w:val="005D394E"/>
    <w:rsid w:val="005D41CB"/>
    <w:rsid w:val="005D45E6"/>
    <w:rsid w:val="005D4B65"/>
    <w:rsid w:val="005D4F0F"/>
    <w:rsid w:val="005D5486"/>
    <w:rsid w:val="005D75B7"/>
    <w:rsid w:val="005D7E1F"/>
    <w:rsid w:val="005E0AC9"/>
    <w:rsid w:val="005E2E4D"/>
    <w:rsid w:val="005E3B37"/>
    <w:rsid w:val="005E3DC1"/>
    <w:rsid w:val="005E4072"/>
    <w:rsid w:val="005E46E1"/>
    <w:rsid w:val="005E7509"/>
    <w:rsid w:val="005E78E2"/>
    <w:rsid w:val="005F0844"/>
    <w:rsid w:val="005F13A2"/>
    <w:rsid w:val="005F1AFA"/>
    <w:rsid w:val="005F1B0E"/>
    <w:rsid w:val="005F431A"/>
    <w:rsid w:val="005F48A0"/>
    <w:rsid w:val="005F5CE4"/>
    <w:rsid w:val="005F6237"/>
    <w:rsid w:val="005F6367"/>
    <w:rsid w:val="005F6D71"/>
    <w:rsid w:val="005F72F2"/>
    <w:rsid w:val="005F77B2"/>
    <w:rsid w:val="0060025F"/>
    <w:rsid w:val="0060148B"/>
    <w:rsid w:val="00601CFD"/>
    <w:rsid w:val="00602FE2"/>
    <w:rsid w:val="00606CA7"/>
    <w:rsid w:val="0060748F"/>
    <w:rsid w:val="006110F8"/>
    <w:rsid w:val="006117B0"/>
    <w:rsid w:val="00611AEA"/>
    <w:rsid w:val="00613EF7"/>
    <w:rsid w:val="00613FDF"/>
    <w:rsid w:val="00614E29"/>
    <w:rsid w:val="0061575E"/>
    <w:rsid w:val="006175DC"/>
    <w:rsid w:val="00620639"/>
    <w:rsid w:val="00620BCB"/>
    <w:rsid w:val="00621900"/>
    <w:rsid w:val="00621EC9"/>
    <w:rsid w:val="00623DB3"/>
    <w:rsid w:val="006262EF"/>
    <w:rsid w:val="00626FF0"/>
    <w:rsid w:val="00627DBD"/>
    <w:rsid w:val="00630740"/>
    <w:rsid w:val="006308DD"/>
    <w:rsid w:val="00630C76"/>
    <w:rsid w:val="006320CD"/>
    <w:rsid w:val="00632B7E"/>
    <w:rsid w:val="00633C68"/>
    <w:rsid w:val="00641B66"/>
    <w:rsid w:val="00641C2B"/>
    <w:rsid w:val="00642A79"/>
    <w:rsid w:val="00643062"/>
    <w:rsid w:val="00643C14"/>
    <w:rsid w:val="0064742C"/>
    <w:rsid w:val="006477C1"/>
    <w:rsid w:val="006509FD"/>
    <w:rsid w:val="00650EEA"/>
    <w:rsid w:val="006522CD"/>
    <w:rsid w:val="00652444"/>
    <w:rsid w:val="00652DC8"/>
    <w:rsid w:val="00653A4A"/>
    <w:rsid w:val="00655238"/>
    <w:rsid w:val="00655E8D"/>
    <w:rsid w:val="00656143"/>
    <w:rsid w:val="00656743"/>
    <w:rsid w:val="00656890"/>
    <w:rsid w:val="006600BC"/>
    <w:rsid w:val="00662D45"/>
    <w:rsid w:val="006634EC"/>
    <w:rsid w:val="00670476"/>
    <w:rsid w:val="00671F2B"/>
    <w:rsid w:val="00672881"/>
    <w:rsid w:val="00673B49"/>
    <w:rsid w:val="00673BC8"/>
    <w:rsid w:val="00674270"/>
    <w:rsid w:val="00674602"/>
    <w:rsid w:val="00676CC1"/>
    <w:rsid w:val="00676E7B"/>
    <w:rsid w:val="0067776D"/>
    <w:rsid w:val="00677B3B"/>
    <w:rsid w:val="00680152"/>
    <w:rsid w:val="006826E2"/>
    <w:rsid w:val="006835E0"/>
    <w:rsid w:val="00685FF9"/>
    <w:rsid w:val="0068618C"/>
    <w:rsid w:val="00686DF7"/>
    <w:rsid w:val="00692228"/>
    <w:rsid w:val="00692A2F"/>
    <w:rsid w:val="00694763"/>
    <w:rsid w:val="00695256"/>
    <w:rsid w:val="006964F8"/>
    <w:rsid w:val="00697EFE"/>
    <w:rsid w:val="006A3437"/>
    <w:rsid w:val="006A5303"/>
    <w:rsid w:val="006A70E3"/>
    <w:rsid w:val="006B1D63"/>
    <w:rsid w:val="006B419F"/>
    <w:rsid w:val="006B4A26"/>
    <w:rsid w:val="006B5CF4"/>
    <w:rsid w:val="006C02B1"/>
    <w:rsid w:val="006C1B99"/>
    <w:rsid w:val="006C1E48"/>
    <w:rsid w:val="006C547D"/>
    <w:rsid w:val="006D16F0"/>
    <w:rsid w:val="006D2168"/>
    <w:rsid w:val="006D26F5"/>
    <w:rsid w:val="006D36CD"/>
    <w:rsid w:val="006D4DDB"/>
    <w:rsid w:val="006D7D15"/>
    <w:rsid w:val="006E3BB5"/>
    <w:rsid w:val="006E3EDB"/>
    <w:rsid w:val="006E4995"/>
    <w:rsid w:val="006E4DBB"/>
    <w:rsid w:val="006E55EC"/>
    <w:rsid w:val="006E6F40"/>
    <w:rsid w:val="006F0B0A"/>
    <w:rsid w:val="006F0DF5"/>
    <w:rsid w:val="006F2600"/>
    <w:rsid w:val="006F3188"/>
    <w:rsid w:val="006F5362"/>
    <w:rsid w:val="00700CB7"/>
    <w:rsid w:val="00701091"/>
    <w:rsid w:val="00702F05"/>
    <w:rsid w:val="00703348"/>
    <w:rsid w:val="0070517F"/>
    <w:rsid w:val="00710095"/>
    <w:rsid w:val="00712AB8"/>
    <w:rsid w:val="00714907"/>
    <w:rsid w:val="00714F3A"/>
    <w:rsid w:val="00717524"/>
    <w:rsid w:val="0071779E"/>
    <w:rsid w:val="00720499"/>
    <w:rsid w:val="0072141F"/>
    <w:rsid w:val="00721F4E"/>
    <w:rsid w:val="00724C99"/>
    <w:rsid w:val="00726B2D"/>
    <w:rsid w:val="007312DE"/>
    <w:rsid w:val="00731AED"/>
    <w:rsid w:val="00731B02"/>
    <w:rsid w:val="0073202B"/>
    <w:rsid w:val="0073204D"/>
    <w:rsid w:val="0073367A"/>
    <w:rsid w:val="007343BB"/>
    <w:rsid w:val="0073471D"/>
    <w:rsid w:val="00734802"/>
    <w:rsid w:val="00734F89"/>
    <w:rsid w:val="00737E17"/>
    <w:rsid w:val="0074081B"/>
    <w:rsid w:val="0074136F"/>
    <w:rsid w:val="007444FE"/>
    <w:rsid w:val="00744980"/>
    <w:rsid w:val="0074685A"/>
    <w:rsid w:val="00746E54"/>
    <w:rsid w:val="00747414"/>
    <w:rsid w:val="00747588"/>
    <w:rsid w:val="00747B10"/>
    <w:rsid w:val="007510E9"/>
    <w:rsid w:val="00751E00"/>
    <w:rsid w:val="00752AFB"/>
    <w:rsid w:val="00752D7A"/>
    <w:rsid w:val="0075330D"/>
    <w:rsid w:val="0075364D"/>
    <w:rsid w:val="00753B13"/>
    <w:rsid w:val="00754510"/>
    <w:rsid w:val="00754821"/>
    <w:rsid w:val="007548C5"/>
    <w:rsid w:val="007551F8"/>
    <w:rsid w:val="007553C1"/>
    <w:rsid w:val="00756000"/>
    <w:rsid w:val="007569FE"/>
    <w:rsid w:val="00756E4A"/>
    <w:rsid w:val="007623E4"/>
    <w:rsid w:val="00763CF3"/>
    <w:rsid w:val="00763E1D"/>
    <w:rsid w:val="007640AF"/>
    <w:rsid w:val="0076466B"/>
    <w:rsid w:val="00764868"/>
    <w:rsid w:val="00764CCC"/>
    <w:rsid w:val="007657CB"/>
    <w:rsid w:val="0076640D"/>
    <w:rsid w:val="00773992"/>
    <w:rsid w:val="00774CCB"/>
    <w:rsid w:val="00777904"/>
    <w:rsid w:val="00777A2D"/>
    <w:rsid w:val="00777BFE"/>
    <w:rsid w:val="00777D1F"/>
    <w:rsid w:val="00781C28"/>
    <w:rsid w:val="00782081"/>
    <w:rsid w:val="00782DDE"/>
    <w:rsid w:val="0078345D"/>
    <w:rsid w:val="0078416F"/>
    <w:rsid w:val="00784379"/>
    <w:rsid w:val="00784922"/>
    <w:rsid w:val="00784B19"/>
    <w:rsid w:val="0078633B"/>
    <w:rsid w:val="00786E24"/>
    <w:rsid w:val="00787C9E"/>
    <w:rsid w:val="00787EB5"/>
    <w:rsid w:val="00790CFA"/>
    <w:rsid w:val="007916A1"/>
    <w:rsid w:val="00791A34"/>
    <w:rsid w:val="00794511"/>
    <w:rsid w:val="00795B87"/>
    <w:rsid w:val="0079617C"/>
    <w:rsid w:val="00796812"/>
    <w:rsid w:val="00797A6E"/>
    <w:rsid w:val="007A02FD"/>
    <w:rsid w:val="007A1073"/>
    <w:rsid w:val="007A19C0"/>
    <w:rsid w:val="007A30C5"/>
    <w:rsid w:val="007A3225"/>
    <w:rsid w:val="007A3279"/>
    <w:rsid w:val="007A33BB"/>
    <w:rsid w:val="007A5C66"/>
    <w:rsid w:val="007A706C"/>
    <w:rsid w:val="007A755A"/>
    <w:rsid w:val="007A7995"/>
    <w:rsid w:val="007B070B"/>
    <w:rsid w:val="007B159F"/>
    <w:rsid w:val="007B2033"/>
    <w:rsid w:val="007B2655"/>
    <w:rsid w:val="007B4E07"/>
    <w:rsid w:val="007B4E9E"/>
    <w:rsid w:val="007B5AAC"/>
    <w:rsid w:val="007C1B7C"/>
    <w:rsid w:val="007C1E88"/>
    <w:rsid w:val="007C4D5B"/>
    <w:rsid w:val="007C5D74"/>
    <w:rsid w:val="007C5E47"/>
    <w:rsid w:val="007C66F3"/>
    <w:rsid w:val="007C7248"/>
    <w:rsid w:val="007D05B6"/>
    <w:rsid w:val="007D06D0"/>
    <w:rsid w:val="007D1B44"/>
    <w:rsid w:val="007D4671"/>
    <w:rsid w:val="007D6A51"/>
    <w:rsid w:val="007D6C9C"/>
    <w:rsid w:val="007D7377"/>
    <w:rsid w:val="007D782D"/>
    <w:rsid w:val="007D7A8B"/>
    <w:rsid w:val="007E06B4"/>
    <w:rsid w:val="007E135B"/>
    <w:rsid w:val="007E260E"/>
    <w:rsid w:val="007E2709"/>
    <w:rsid w:val="007E2DAB"/>
    <w:rsid w:val="007E4F9D"/>
    <w:rsid w:val="007E61EB"/>
    <w:rsid w:val="007E7C3E"/>
    <w:rsid w:val="007F0E77"/>
    <w:rsid w:val="007F118F"/>
    <w:rsid w:val="007F21EE"/>
    <w:rsid w:val="007F268A"/>
    <w:rsid w:val="007F43E8"/>
    <w:rsid w:val="007F6927"/>
    <w:rsid w:val="007F7978"/>
    <w:rsid w:val="00801481"/>
    <w:rsid w:val="00801CC4"/>
    <w:rsid w:val="00801E39"/>
    <w:rsid w:val="00801E64"/>
    <w:rsid w:val="008030B0"/>
    <w:rsid w:val="0080354A"/>
    <w:rsid w:val="008044B2"/>
    <w:rsid w:val="00805C69"/>
    <w:rsid w:val="00806012"/>
    <w:rsid w:val="00806388"/>
    <w:rsid w:val="008068B7"/>
    <w:rsid w:val="00807FD2"/>
    <w:rsid w:val="008109FB"/>
    <w:rsid w:val="008116B2"/>
    <w:rsid w:val="00811AEF"/>
    <w:rsid w:val="00813461"/>
    <w:rsid w:val="00813542"/>
    <w:rsid w:val="00816297"/>
    <w:rsid w:val="00817866"/>
    <w:rsid w:val="00821252"/>
    <w:rsid w:val="00822EA7"/>
    <w:rsid w:val="00824122"/>
    <w:rsid w:val="00824684"/>
    <w:rsid w:val="00824747"/>
    <w:rsid w:val="008249BF"/>
    <w:rsid w:val="008256E0"/>
    <w:rsid w:val="00826A9E"/>
    <w:rsid w:val="00827E50"/>
    <w:rsid w:val="008300E9"/>
    <w:rsid w:val="008309FF"/>
    <w:rsid w:val="008313AF"/>
    <w:rsid w:val="00832394"/>
    <w:rsid w:val="0083249B"/>
    <w:rsid w:val="00833C28"/>
    <w:rsid w:val="00836C2C"/>
    <w:rsid w:val="0084174A"/>
    <w:rsid w:val="008430B4"/>
    <w:rsid w:val="00844255"/>
    <w:rsid w:val="0084557A"/>
    <w:rsid w:val="00845C28"/>
    <w:rsid w:val="00846326"/>
    <w:rsid w:val="0084690E"/>
    <w:rsid w:val="00847904"/>
    <w:rsid w:val="0085005C"/>
    <w:rsid w:val="008503C4"/>
    <w:rsid w:val="0085314D"/>
    <w:rsid w:val="008552AD"/>
    <w:rsid w:val="008556AD"/>
    <w:rsid w:val="00856848"/>
    <w:rsid w:val="00856A20"/>
    <w:rsid w:val="00856BDC"/>
    <w:rsid w:val="00857805"/>
    <w:rsid w:val="0086158F"/>
    <w:rsid w:val="0086245D"/>
    <w:rsid w:val="0086310B"/>
    <w:rsid w:val="00863160"/>
    <w:rsid w:val="00865443"/>
    <w:rsid w:val="00865798"/>
    <w:rsid w:val="00865A6D"/>
    <w:rsid w:val="00866C49"/>
    <w:rsid w:val="008708A1"/>
    <w:rsid w:val="0087458F"/>
    <w:rsid w:val="008746B6"/>
    <w:rsid w:val="00875330"/>
    <w:rsid w:val="008756CC"/>
    <w:rsid w:val="0087636C"/>
    <w:rsid w:val="008776CB"/>
    <w:rsid w:val="00886479"/>
    <w:rsid w:val="00887749"/>
    <w:rsid w:val="00887E51"/>
    <w:rsid w:val="00890CB2"/>
    <w:rsid w:val="00891841"/>
    <w:rsid w:val="008919CC"/>
    <w:rsid w:val="00891DF6"/>
    <w:rsid w:val="0089240F"/>
    <w:rsid w:val="0089259F"/>
    <w:rsid w:val="00893897"/>
    <w:rsid w:val="00894CA7"/>
    <w:rsid w:val="0089635B"/>
    <w:rsid w:val="00897826"/>
    <w:rsid w:val="008A3D55"/>
    <w:rsid w:val="008A40B6"/>
    <w:rsid w:val="008A6051"/>
    <w:rsid w:val="008A6302"/>
    <w:rsid w:val="008A77C3"/>
    <w:rsid w:val="008A7977"/>
    <w:rsid w:val="008A7A98"/>
    <w:rsid w:val="008B1B75"/>
    <w:rsid w:val="008B1EE9"/>
    <w:rsid w:val="008B2355"/>
    <w:rsid w:val="008B3DA5"/>
    <w:rsid w:val="008B42EC"/>
    <w:rsid w:val="008B6B9E"/>
    <w:rsid w:val="008C061B"/>
    <w:rsid w:val="008C18AF"/>
    <w:rsid w:val="008C23BF"/>
    <w:rsid w:val="008C29EE"/>
    <w:rsid w:val="008C2C65"/>
    <w:rsid w:val="008C35D4"/>
    <w:rsid w:val="008C36F8"/>
    <w:rsid w:val="008C58A2"/>
    <w:rsid w:val="008D1380"/>
    <w:rsid w:val="008D1770"/>
    <w:rsid w:val="008D307A"/>
    <w:rsid w:val="008D32CC"/>
    <w:rsid w:val="008D3B14"/>
    <w:rsid w:val="008D40E5"/>
    <w:rsid w:val="008D4B83"/>
    <w:rsid w:val="008D4E98"/>
    <w:rsid w:val="008D6B6F"/>
    <w:rsid w:val="008D78FA"/>
    <w:rsid w:val="008D7E25"/>
    <w:rsid w:val="008E0003"/>
    <w:rsid w:val="008E005F"/>
    <w:rsid w:val="008E0705"/>
    <w:rsid w:val="008E08A2"/>
    <w:rsid w:val="008E1414"/>
    <w:rsid w:val="008E2E79"/>
    <w:rsid w:val="008E32E4"/>
    <w:rsid w:val="008E429B"/>
    <w:rsid w:val="008E4690"/>
    <w:rsid w:val="008E5016"/>
    <w:rsid w:val="008E521F"/>
    <w:rsid w:val="008E535C"/>
    <w:rsid w:val="008E561B"/>
    <w:rsid w:val="008E5DA3"/>
    <w:rsid w:val="008E726F"/>
    <w:rsid w:val="008E7548"/>
    <w:rsid w:val="008E7722"/>
    <w:rsid w:val="008F02CE"/>
    <w:rsid w:val="008F05ED"/>
    <w:rsid w:val="008F09C7"/>
    <w:rsid w:val="008F0CDD"/>
    <w:rsid w:val="008F1333"/>
    <w:rsid w:val="008F1512"/>
    <w:rsid w:val="008F153C"/>
    <w:rsid w:val="008F40D7"/>
    <w:rsid w:val="008F437C"/>
    <w:rsid w:val="008F4879"/>
    <w:rsid w:val="008F49E7"/>
    <w:rsid w:val="008F5427"/>
    <w:rsid w:val="008F561B"/>
    <w:rsid w:val="008F56B3"/>
    <w:rsid w:val="008F5AB9"/>
    <w:rsid w:val="008F5CD0"/>
    <w:rsid w:val="008F5EC2"/>
    <w:rsid w:val="009003C4"/>
    <w:rsid w:val="00900DC4"/>
    <w:rsid w:val="0090309C"/>
    <w:rsid w:val="00903998"/>
    <w:rsid w:val="00904409"/>
    <w:rsid w:val="00904D3C"/>
    <w:rsid w:val="00906D14"/>
    <w:rsid w:val="00906EB4"/>
    <w:rsid w:val="00907ECD"/>
    <w:rsid w:val="00910348"/>
    <w:rsid w:val="00910C2B"/>
    <w:rsid w:val="00910DFA"/>
    <w:rsid w:val="0091111E"/>
    <w:rsid w:val="0091289B"/>
    <w:rsid w:val="00914791"/>
    <w:rsid w:val="00914AFC"/>
    <w:rsid w:val="00915139"/>
    <w:rsid w:val="00915D58"/>
    <w:rsid w:val="00915F10"/>
    <w:rsid w:val="00916A95"/>
    <w:rsid w:val="00916E18"/>
    <w:rsid w:val="0091740E"/>
    <w:rsid w:val="009217FB"/>
    <w:rsid w:val="0092352A"/>
    <w:rsid w:val="009235CB"/>
    <w:rsid w:val="00926885"/>
    <w:rsid w:val="00927686"/>
    <w:rsid w:val="00927726"/>
    <w:rsid w:val="00927D8B"/>
    <w:rsid w:val="009320EA"/>
    <w:rsid w:val="00932EBE"/>
    <w:rsid w:val="009336DE"/>
    <w:rsid w:val="00934C63"/>
    <w:rsid w:val="0093573A"/>
    <w:rsid w:val="00936331"/>
    <w:rsid w:val="0093671B"/>
    <w:rsid w:val="009402D5"/>
    <w:rsid w:val="009403C1"/>
    <w:rsid w:val="009428BB"/>
    <w:rsid w:val="00945703"/>
    <w:rsid w:val="00945B1A"/>
    <w:rsid w:val="0094654E"/>
    <w:rsid w:val="0094668F"/>
    <w:rsid w:val="00947023"/>
    <w:rsid w:val="009470AD"/>
    <w:rsid w:val="00947BD1"/>
    <w:rsid w:val="00947C2F"/>
    <w:rsid w:val="00950FFA"/>
    <w:rsid w:val="009533A2"/>
    <w:rsid w:val="0095479C"/>
    <w:rsid w:val="00955926"/>
    <w:rsid w:val="00956600"/>
    <w:rsid w:val="00956C8A"/>
    <w:rsid w:val="00956D11"/>
    <w:rsid w:val="009575BF"/>
    <w:rsid w:val="009603E9"/>
    <w:rsid w:val="009658EE"/>
    <w:rsid w:val="00966758"/>
    <w:rsid w:val="00971D07"/>
    <w:rsid w:val="00972590"/>
    <w:rsid w:val="0097263C"/>
    <w:rsid w:val="00972BAC"/>
    <w:rsid w:val="00973930"/>
    <w:rsid w:val="009741A6"/>
    <w:rsid w:val="00974EB5"/>
    <w:rsid w:val="00975431"/>
    <w:rsid w:val="009772D5"/>
    <w:rsid w:val="009773B3"/>
    <w:rsid w:val="00977F66"/>
    <w:rsid w:val="00980005"/>
    <w:rsid w:val="0098035E"/>
    <w:rsid w:val="00981764"/>
    <w:rsid w:val="00984C5F"/>
    <w:rsid w:val="00985631"/>
    <w:rsid w:val="00985867"/>
    <w:rsid w:val="00986818"/>
    <w:rsid w:val="00987362"/>
    <w:rsid w:val="009918CD"/>
    <w:rsid w:val="00991C43"/>
    <w:rsid w:val="009925CC"/>
    <w:rsid w:val="00993EFE"/>
    <w:rsid w:val="0099584D"/>
    <w:rsid w:val="0099633A"/>
    <w:rsid w:val="0099652F"/>
    <w:rsid w:val="00996738"/>
    <w:rsid w:val="009A005C"/>
    <w:rsid w:val="009A101B"/>
    <w:rsid w:val="009A15F8"/>
    <w:rsid w:val="009A26FC"/>
    <w:rsid w:val="009A3C75"/>
    <w:rsid w:val="009B14FA"/>
    <w:rsid w:val="009B1FE7"/>
    <w:rsid w:val="009B2804"/>
    <w:rsid w:val="009B4243"/>
    <w:rsid w:val="009B4A62"/>
    <w:rsid w:val="009B4E78"/>
    <w:rsid w:val="009B570F"/>
    <w:rsid w:val="009C0384"/>
    <w:rsid w:val="009C2A37"/>
    <w:rsid w:val="009C4063"/>
    <w:rsid w:val="009C49E1"/>
    <w:rsid w:val="009C4D7E"/>
    <w:rsid w:val="009C62F3"/>
    <w:rsid w:val="009C67BB"/>
    <w:rsid w:val="009C6FEA"/>
    <w:rsid w:val="009C7908"/>
    <w:rsid w:val="009C7C2C"/>
    <w:rsid w:val="009C7C9E"/>
    <w:rsid w:val="009D0ACE"/>
    <w:rsid w:val="009D0B48"/>
    <w:rsid w:val="009D0D4F"/>
    <w:rsid w:val="009D0F46"/>
    <w:rsid w:val="009D184E"/>
    <w:rsid w:val="009D25C9"/>
    <w:rsid w:val="009D2712"/>
    <w:rsid w:val="009D278B"/>
    <w:rsid w:val="009D3718"/>
    <w:rsid w:val="009D5146"/>
    <w:rsid w:val="009D55D6"/>
    <w:rsid w:val="009D5AA1"/>
    <w:rsid w:val="009D603C"/>
    <w:rsid w:val="009D604F"/>
    <w:rsid w:val="009D72FB"/>
    <w:rsid w:val="009D7590"/>
    <w:rsid w:val="009D79FA"/>
    <w:rsid w:val="009E130C"/>
    <w:rsid w:val="009E1355"/>
    <w:rsid w:val="009E3202"/>
    <w:rsid w:val="009E61B5"/>
    <w:rsid w:val="009E7AAF"/>
    <w:rsid w:val="009F0105"/>
    <w:rsid w:val="009F074D"/>
    <w:rsid w:val="009F1EDE"/>
    <w:rsid w:val="009F4191"/>
    <w:rsid w:val="009F41F0"/>
    <w:rsid w:val="009F425A"/>
    <w:rsid w:val="009F50E9"/>
    <w:rsid w:val="009F676B"/>
    <w:rsid w:val="00A0082C"/>
    <w:rsid w:val="00A01822"/>
    <w:rsid w:val="00A01CD6"/>
    <w:rsid w:val="00A0237B"/>
    <w:rsid w:val="00A026F5"/>
    <w:rsid w:val="00A027A6"/>
    <w:rsid w:val="00A032C2"/>
    <w:rsid w:val="00A03AE9"/>
    <w:rsid w:val="00A044BF"/>
    <w:rsid w:val="00A04A49"/>
    <w:rsid w:val="00A05906"/>
    <w:rsid w:val="00A071A3"/>
    <w:rsid w:val="00A07D29"/>
    <w:rsid w:val="00A101E5"/>
    <w:rsid w:val="00A114A9"/>
    <w:rsid w:val="00A1187A"/>
    <w:rsid w:val="00A124AF"/>
    <w:rsid w:val="00A12E16"/>
    <w:rsid w:val="00A14787"/>
    <w:rsid w:val="00A15250"/>
    <w:rsid w:val="00A16ADC"/>
    <w:rsid w:val="00A207F5"/>
    <w:rsid w:val="00A208C0"/>
    <w:rsid w:val="00A21037"/>
    <w:rsid w:val="00A244C5"/>
    <w:rsid w:val="00A25D44"/>
    <w:rsid w:val="00A25F80"/>
    <w:rsid w:val="00A26017"/>
    <w:rsid w:val="00A31E0E"/>
    <w:rsid w:val="00A35685"/>
    <w:rsid w:val="00A368EA"/>
    <w:rsid w:val="00A36B27"/>
    <w:rsid w:val="00A42908"/>
    <w:rsid w:val="00A42B0D"/>
    <w:rsid w:val="00A43131"/>
    <w:rsid w:val="00A44825"/>
    <w:rsid w:val="00A45C64"/>
    <w:rsid w:val="00A46009"/>
    <w:rsid w:val="00A461CC"/>
    <w:rsid w:val="00A46434"/>
    <w:rsid w:val="00A47C29"/>
    <w:rsid w:val="00A47F59"/>
    <w:rsid w:val="00A508CC"/>
    <w:rsid w:val="00A50E53"/>
    <w:rsid w:val="00A50FDF"/>
    <w:rsid w:val="00A5361F"/>
    <w:rsid w:val="00A54559"/>
    <w:rsid w:val="00A5770C"/>
    <w:rsid w:val="00A60B6C"/>
    <w:rsid w:val="00A614CC"/>
    <w:rsid w:val="00A62969"/>
    <w:rsid w:val="00A65C76"/>
    <w:rsid w:val="00A6644A"/>
    <w:rsid w:val="00A71515"/>
    <w:rsid w:val="00A74179"/>
    <w:rsid w:val="00A77C21"/>
    <w:rsid w:val="00A80702"/>
    <w:rsid w:val="00A82D4A"/>
    <w:rsid w:val="00A839A3"/>
    <w:rsid w:val="00A84233"/>
    <w:rsid w:val="00A85FF7"/>
    <w:rsid w:val="00A86403"/>
    <w:rsid w:val="00A90600"/>
    <w:rsid w:val="00A9078C"/>
    <w:rsid w:val="00A90A1C"/>
    <w:rsid w:val="00A911EE"/>
    <w:rsid w:val="00A91502"/>
    <w:rsid w:val="00A96974"/>
    <w:rsid w:val="00A96E7A"/>
    <w:rsid w:val="00A97D95"/>
    <w:rsid w:val="00A97EA2"/>
    <w:rsid w:val="00AA033E"/>
    <w:rsid w:val="00AA05CA"/>
    <w:rsid w:val="00AA09FE"/>
    <w:rsid w:val="00AA2A6B"/>
    <w:rsid w:val="00AA38EF"/>
    <w:rsid w:val="00AA4754"/>
    <w:rsid w:val="00AA4C3E"/>
    <w:rsid w:val="00AA4CB7"/>
    <w:rsid w:val="00AB00CF"/>
    <w:rsid w:val="00AB0D21"/>
    <w:rsid w:val="00AB1B7A"/>
    <w:rsid w:val="00AB3A4F"/>
    <w:rsid w:val="00AB43F5"/>
    <w:rsid w:val="00AB4F98"/>
    <w:rsid w:val="00AB5D1F"/>
    <w:rsid w:val="00AB6811"/>
    <w:rsid w:val="00AB6EB7"/>
    <w:rsid w:val="00AB7047"/>
    <w:rsid w:val="00AB7057"/>
    <w:rsid w:val="00AB75BD"/>
    <w:rsid w:val="00AB7CDC"/>
    <w:rsid w:val="00AC0B67"/>
    <w:rsid w:val="00AC1B39"/>
    <w:rsid w:val="00AC260E"/>
    <w:rsid w:val="00AC3288"/>
    <w:rsid w:val="00AC3F29"/>
    <w:rsid w:val="00AC522E"/>
    <w:rsid w:val="00AC72FF"/>
    <w:rsid w:val="00AC7315"/>
    <w:rsid w:val="00AC7F82"/>
    <w:rsid w:val="00AD029F"/>
    <w:rsid w:val="00AD034B"/>
    <w:rsid w:val="00AD0A1F"/>
    <w:rsid w:val="00AD1087"/>
    <w:rsid w:val="00AD1382"/>
    <w:rsid w:val="00AD35D8"/>
    <w:rsid w:val="00AD3FD8"/>
    <w:rsid w:val="00AD41A2"/>
    <w:rsid w:val="00AD53B9"/>
    <w:rsid w:val="00AD5A64"/>
    <w:rsid w:val="00AD5BE9"/>
    <w:rsid w:val="00AD5D04"/>
    <w:rsid w:val="00AD7131"/>
    <w:rsid w:val="00AE0947"/>
    <w:rsid w:val="00AE0ADA"/>
    <w:rsid w:val="00AE0C6A"/>
    <w:rsid w:val="00AE302E"/>
    <w:rsid w:val="00AE4236"/>
    <w:rsid w:val="00AE60CA"/>
    <w:rsid w:val="00AE7D22"/>
    <w:rsid w:val="00AE7D8C"/>
    <w:rsid w:val="00AF1482"/>
    <w:rsid w:val="00AF16D9"/>
    <w:rsid w:val="00AF20FA"/>
    <w:rsid w:val="00AF30E9"/>
    <w:rsid w:val="00AF3693"/>
    <w:rsid w:val="00AF3CFB"/>
    <w:rsid w:val="00AF3D21"/>
    <w:rsid w:val="00AF5D8C"/>
    <w:rsid w:val="00AF61CF"/>
    <w:rsid w:val="00B001C7"/>
    <w:rsid w:val="00B00B8E"/>
    <w:rsid w:val="00B0144B"/>
    <w:rsid w:val="00B01649"/>
    <w:rsid w:val="00B02564"/>
    <w:rsid w:val="00B0681B"/>
    <w:rsid w:val="00B10778"/>
    <w:rsid w:val="00B10B7C"/>
    <w:rsid w:val="00B11ECA"/>
    <w:rsid w:val="00B11FCA"/>
    <w:rsid w:val="00B1205A"/>
    <w:rsid w:val="00B120F8"/>
    <w:rsid w:val="00B1244E"/>
    <w:rsid w:val="00B12579"/>
    <w:rsid w:val="00B14091"/>
    <w:rsid w:val="00B1491E"/>
    <w:rsid w:val="00B14FFD"/>
    <w:rsid w:val="00B15315"/>
    <w:rsid w:val="00B1606D"/>
    <w:rsid w:val="00B1613F"/>
    <w:rsid w:val="00B16C76"/>
    <w:rsid w:val="00B174B9"/>
    <w:rsid w:val="00B175CC"/>
    <w:rsid w:val="00B20324"/>
    <w:rsid w:val="00B2323D"/>
    <w:rsid w:val="00B23540"/>
    <w:rsid w:val="00B23B4C"/>
    <w:rsid w:val="00B23EE0"/>
    <w:rsid w:val="00B24F95"/>
    <w:rsid w:val="00B2527E"/>
    <w:rsid w:val="00B30E9F"/>
    <w:rsid w:val="00B31EF9"/>
    <w:rsid w:val="00B32660"/>
    <w:rsid w:val="00B32EFE"/>
    <w:rsid w:val="00B35931"/>
    <w:rsid w:val="00B35BDD"/>
    <w:rsid w:val="00B36838"/>
    <w:rsid w:val="00B368CD"/>
    <w:rsid w:val="00B4357C"/>
    <w:rsid w:val="00B45926"/>
    <w:rsid w:val="00B46ABB"/>
    <w:rsid w:val="00B46E00"/>
    <w:rsid w:val="00B50AAD"/>
    <w:rsid w:val="00B50AE3"/>
    <w:rsid w:val="00B51400"/>
    <w:rsid w:val="00B51E20"/>
    <w:rsid w:val="00B532EE"/>
    <w:rsid w:val="00B54D83"/>
    <w:rsid w:val="00B5605E"/>
    <w:rsid w:val="00B564EE"/>
    <w:rsid w:val="00B5663B"/>
    <w:rsid w:val="00B615D6"/>
    <w:rsid w:val="00B618A3"/>
    <w:rsid w:val="00B61C95"/>
    <w:rsid w:val="00B6250A"/>
    <w:rsid w:val="00B6451C"/>
    <w:rsid w:val="00B6477E"/>
    <w:rsid w:val="00B650F0"/>
    <w:rsid w:val="00B65E18"/>
    <w:rsid w:val="00B67CBC"/>
    <w:rsid w:val="00B7260A"/>
    <w:rsid w:val="00B73B1A"/>
    <w:rsid w:val="00B73C5D"/>
    <w:rsid w:val="00B746AB"/>
    <w:rsid w:val="00B74C76"/>
    <w:rsid w:val="00B75306"/>
    <w:rsid w:val="00B75815"/>
    <w:rsid w:val="00B76B04"/>
    <w:rsid w:val="00B76B88"/>
    <w:rsid w:val="00B773BD"/>
    <w:rsid w:val="00B77DCA"/>
    <w:rsid w:val="00B80C04"/>
    <w:rsid w:val="00B80D03"/>
    <w:rsid w:val="00B819A5"/>
    <w:rsid w:val="00B823B5"/>
    <w:rsid w:val="00B82662"/>
    <w:rsid w:val="00B82C02"/>
    <w:rsid w:val="00B83090"/>
    <w:rsid w:val="00B83F41"/>
    <w:rsid w:val="00B84EE4"/>
    <w:rsid w:val="00B8618B"/>
    <w:rsid w:val="00B86C62"/>
    <w:rsid w:val="00B87F0D"/>
    <w:rsid w:val="00B9029E"/>
    <w:rsid w:val="00B90BC9"/>
    <w:rsid w:val="00B914B4"/>
    <w:rsid w:val="00B927CF"/>
    <w:rsid w:val="00B94B5D"/>
    <w:rsid w:val="00B9591B"/>
    <w:rsid w:val="00B96679"/>
    <w:rsid w:val="00BA0BFB"/>
    <w:rsid w:val="00BA29B7"/>
    <w:rsid w:val="00BA32F4"/>
    <w:rsid w:val="00BA481A"/>
    <w:rsid w:val="00BA5648"/>
    <w:rsid w:val="00BA6C8F"/>
    <w:rsid w:val="00BA72F3"/>
    <w:rsid w:val="00BA7460"/>
    <w:rsid w:val="00BA7EDB"/>
    <w:rsid w:val="00BB2811"/>
    <w:rsid w:val="00BB2CBC"/>
    <w:rsid w:val="00BB4C26"/>
    <w:rsid w:val="00BB4D2C"/>
    <w:rsid w:val="00BB677B"/>
    <w:rsid w:val="00BB7205"/>
    <w:rsid w:val="00BB7309"/>
    <w:rsid w:val="00BC0427"/>
    <w:rsid w:val="00BC0A3C"/>
    <w:rsid w:val="00BC1463"/>
    <w:rsid w:val="00BC14C2"/>
    <w:rsid w:val="00BC313A"/>
    <w:rsid w:val="00BC33AC"/>
    <w:rsid w:val="00BC3EC1"/>
    <w:rsid w:val="00BC3F54"/>
    <w:rsid w:val="00BC57D3"/>
    <w:rsid w:val="00BC6176"/>
    <w:rsid w:val="00BC6863"/>
    <w:rsid w:val="00BC6ED8"/>
    <w:rsid w:val="00BC711A"/>
    <w:rsid w:val="00BC781D"/>
    <w:rsid w:val="00BD0CDB"/>
    <w:rsid w:val="00BD11F5"/>
    <w:rsid w:val="00BD1954"/>
    <w:rsid w:val="00BD4AFD"/>
    <w:rsid w:val="00BD7D19"/>
    <w:rsid w:val="00BE206A"/>
    <w:rsid w:val="00BE3F00"/>
    <w:rsid w:val="00BE4F4B"/>
    <w:rsid w:val="00BE74E6"/>
    <w:rsid w:val="00BF1C1A"/>
    <w:rsid w:val="00BF1DF5"/>
    <w:rsid w:val="00BF2FA9"/>
    <w:rsid w:val="00BF6A3A"/>
    <w:rsid w:val="00C00636"/>
    <w:rsid w:val="00C01A62"/>
    <w:rsid w:val="00C022B9"/>
    <w:rsid w:val="00C02A1A"/>
    <w:rsid w:val="00C03AB9"/>
    <w:rsid w:val="00C04F98"/>
    <w:rsid w:val="00C055D3"/>
    <w:rsid w:val="00C06250"/>
    <w:rsid w:val="00C06379"/>
    <w:rsid w:val="00C070FD"/>
    <w:rsid w:val="00C0799A"/>
    <w:rsid w:val="00C07A2E"/>
    <w:rsid w:val="00C103A2"/>
    <w:rsid w:val="00C139DE"/>
    <w:rsid w:val="00C14AF4"/>
    <w:rsid w:val="00C16256"/>
    <w:rsid w:val="00C16504"/>
    <w:rsid w:val="00C16825"/>
    <w:rsid w:val="00C17BB8"/>
    <w:rsid w:val="00C20147"/>
    <w:rsid w:val="00C201B0"/>
    <w:rsid w:val="00C20D2A"/>
    <w:rsid w:val="00C21E7B"/>
    <w:rsid w:val="00C2489F"/>
    <w:rsid w:val="00C24D17"/>
    <w:rsid w:val="00C252E8"/>
    <w:rsid w:val="00C25464"/>
    <w:rsid w:val="00C259A4"/>
    <w:rsid w:val="00C259D5"/>
    <w:rsid w:val="00C26CAE"/>
    <w:rsid w:val="00C30631"/>
    <w:rsid w:val="00C30900"/>
    <w:rsid w:val="00C33B71"/>
    <w:rsid w:val="00C344D2"/>
    <w:rsid w:val="00C34FD8"/>
    <w:rsid w:val="00C35411"/>
    <w:rsid w:val="00C355AE"/>
    <w:rsid w:val="00C35604"/>
    <w:rsid w:val="00C35BA3"/>
    <w:rsid w:val="00C35CAD"/>
    <w:rsid w:val="00C373F5"/>
    <w:rsid w:val="00C42698"/>
    <w:rsid w:val="00C45CE8"/>
    <w:rsid w:val="00C461B1"/>
    <w:rsid w:val="00C46C0A"/>
    <w:rsid w:val="00C47F87"/>
    <w:rsid w:val="00C50ABE"/>
    <w:rsid w:val="00C51724"/>
    <w:rsid w:val="00C51C24"/>
    <w:rsid w:val="00C528A1"/>
    <w:rsid w:val="00C52D94"/>
    <w:rsid w:val="00C53390"/>
    <w:rsid w:val="00C53FEA"/>
    <w:rsid w:val="00C5462E"/>
    <w:rsid w:val="00C549B1"/>
    <w:rsid w:val="00C55FA9"/>
    <w:rsid w:val="00C57520"/>
    <w:rsid w:val="00C57AC0"/>
    <w:rsid w:val="00C60109"/>
    <w:rsid w:val="00C608DF"/>
    <w:rsid w:val="00C61665"/>
    <w:rsid w:val="00C638FF"/>
    <w:rsid w:val="00C63B65"/>
    <w:rsid w:val="00C63CF6"/>
    <w:rsid w:val="00C6416E"/>
    <w:rsid w:val="00C64E2A"/>
    <w:rsid w:val="00C67040"/>
    <w:rsid w:val="00C6704F"/>
    <w:rsid w:val="00C670B0"/>
    <w:rsid w:val="00C67A7E"/>
    <w:rsid w:val="00C702FE"/>
    <w:rsid w:val="00C7197F"/>
    <w:rsid w:val="00C733AE"/>
    <w:rsid w:val="00C74507"/>
    <w:rsid w:val="00C759FC"/>
    <w:rsid w:val="00C76D08"/>
    <w:rsid w:val="00C80468"/>
    <w:rsid w:val="00C80F67"/>
    <w:rsid w:val="00C82B21"/>
    <w:rsid w:val="00C84CC1"/>
    <w:rsid w:val="00C852F0"/>
    <w:rsid w:val="00C8568A"/>
    <w:rsid w:val="00C862FA"/>
    <w:rsid w:val="00C863DF"/>
    <w:rsid w:val="00C86D8C"/>
    <w:rsid w:val="00C90384"/>
    <w:rsid w:val="00C90F2F"/>
    <w:rsid w:val="00C92E43"/>
    <w:rsid w:val="00C938D5"/>
    <w:rsid w:val="00C93C17"/>
    <w:rsid w:val="00C94844"/>
    <w:rsid w:val="00C967C1"/>
    <w:rsid w:val="00C972B5"/>
    <w:rsid w:val="00C97CA2"/>
    <w:rsid w:val="00CA0ABF"/>
    <w:rsid w:val="00CA26CE"/>
    <w:rsid w:val="00CA3429"/>
    <w:rsid w:val="00CA36FB"/>
    <w:rsid w:val="00CA43A5"/>
    <w:rsid w:val="00CA493C"/>
    <w:rsid w:val="00CA509A"/>
    <w:rsid w:val="00CA7274"/>
    <w:rsid w:val="00CA7957"/>
    <w:rsid w:val="00CB1F96"/>
    <w:rsid w:val="00CB29F7"/>
    <w:rsid w:val="00CB6006"/>
    <w:rsid w:val="00CC0AFD"/>
    <w:rsid w:val="00CC0BA8"/>
    <w:rsid w:val="00CC16F4"/>
    <w:rsid w:val="00CC1BEA"/>
    <w:rsid w:val="00CC1F8D"/>
    <w:rsid w:val="00CC2DC0"/>
    <w:rsid w:val="00CC2EF2"/>
    <w:rsid w:val="00CC3A9C"/>
    <w:rsid w:val="00CC3F79"/>
    <w:rsid w:val="00CC53BF"/>
    <w:rsid w:val="00CC6BED"/>
    <w:rsid w:val="00CC6DFF"/>
    <w:rsid w:val="00CC6EFA"/>
    <w:rsid w:val="00CC7C68"/>
    <w:rsid w:val="00CD0B1C"/>
    <w:rsid w:val="00CD0B30"/>
    <w:rsid w:val="00CD0FE6"/>
    <w:rsid w:val="00CD39BB"/>
    <w:rsid w:val="00CD3F54"/>
    <w:rsid w:val="00CD4334"/>
    <w:rsid w:val="00CD4C88"/>
    <w:rsid w:val="00CD6070"/>
    <w:rsid w:val="00CD6D41"/>
    <w:rsid w:val="00CD7101"/>
    <w:rsid w:val="00CE0C5E"/>
    <w:rsid w:val="00CE31E7"/>
    <w:rsid w:val="00CE33AC"/>
    <w:rsid w:val="00CE36D6"/>
    <w:rsid w:val="00CE3D21"/>
    <w:rsid w:val="00CE4768"/>
    <w:rsid w:val="00CE6933"/>
    <w:rsid w:val="00CE780A"/>
    <w:rsid w:val="00CF1B12"/>
    <w:rsid w:val="00CF1EAA"/>
    <w:rsid w:val="00CF297E"/>
    <w:rsid w:val="00CF3909"/>
    <w:rsid w:val="00CF3D76"/>
    <w:rsid w:val="00CF4998"/>
    <w:rsid w:val="00CF7256"/>
    <w:rsid w:val="00D0034A"/>
    <w:rsid w:val="00D003AF"/>
    <w:rsid w:val="00D030B9"/>
    <w:rsid w:val="00D04179"/>
    <w:rsid w:val="00D05580"/>
    <w:rsid w:val="00D0595D"/>
    <w:rsid w:val="00D06155"/>
    <w:rsid w:val="00D063A2"/>
    <w:rsid w:val="00D06EB0"/>
    <w:rsid w:val="00D07F39"/>
    <w:rsid w:val="00D1007D"/>
    <w:rsid w:val="00D1218F"/>
    <w:rsid w:val="00D141EB"/>
    <w:rsid w:val="00D1488C"/>
    <w:rsid w:val="00D14923"/>
    <w:rsid w:val="00D14D9F"/>
    <w:rsid w:val="00D16C4B"/>
    <w:rsid w:val="00D16E0D"/>
    <w:rsid w:val="00D175A4"/>
    <w:rsid w:val="00D17D44"/>
    <w:rsid w:val="00D17EE2"/>
    <w:rsid w:val="00D216D4"/>
    <w:rsid w:val="00D23995"/>
    <w:rsid w:val="00D25F4E"/>
    <w:rsid w:val="00D266F3"/>
    <w:rsid w:val="00D26EE8"/>
    <w:rsid w:val="00D27B3B"/>
    <w:rsid w:val="00D27D82"/>
    <w:rsid w:val="00D3010E"/>
    <w:rsid w:val="00D3013F"/>
    <w:rsid w:val="00D30513"/>
    <w:rsid w:val="00D30D99"/>
    <w:rsid w:val="00D3146C"/>
    <w:rsid w:val="00D33037"/>
    <w:rsid w:val="00D33741"/>
    <w:rsid w:val="00D3384A"/>
    <w:rsid w:val="00D33B05"/>
    <w:rsid w:val="00D34568"/>
    <w:rsid w:val="00D36FC9"/>
    <w:rsid w:val="00D3734C"/>
    <w:rsid w:val="00D374AA"/>
    <w:rsid w:val="00D413A0"/>
    <w:rsid w:val="00D41C00"/>
    <w:rsid w:val="00D41F68"/>
    <w:rsid w:val="00D42B22"/>
    <w:rsid w:val="00D4320B"/>
    <w:rsid w:val="00D457EF"/>
    <w:rsid w:val="00D45DDB"/>
    <w:rsid w:val="00D4676A"/>
    <w:rsid w:val="00D50750"/>
    <w:rsid w:val="00D522A8"/>
    <w:rsid w:val="00D5254C"/>
    <w:rsid w:val="00D53978"/>
    <w:rsid w:val="00D56321"/>
    <w:rsid w:val="00D56A8C"/>
    <w:rsid w:val="00D57017"/>
    <w:rsid w:val="00D57157"/>
    <w:rsid w:val="00D5750B"/>
    <w:rsid w:val="00D579E0"/>
    <w:rsid w:val="00D60D2F"/>
    <w:rsid w:val="00D63D28"/>
    <w:rsid w:val="00D643B7"/>
    <w:rsid w:val="00D674DC"/>
    <w:rsid w:val="00D6797C"/>
    <w:rsid w:val="00D67AF6"/>
    <w:rsid w:val="00D7098F"/>
    <w:rsid w:val="00D72118"/>
    <w:rsid w:val="00D75D0E"/>
    <w:rsid w:val="00D76557"/>
    <w:rsid w:val="00D84168"/>
    <w:rsid w:val="00D870BA"/>
    <w:rsid w:val="00D9022A"/>
    <w:rsid w:val="00D905B7"/>
    <w:rsid w:val="00D90991"/>
    <w:rsid w:val="00D90A31"/>
    <w:rsid w:val="00D90E58"/>
    <w:rsid w:val="00D9109C"/>
    <w:rsid w:val="00D91C8A"/>
    <w:rsid w:val="00D92853"/>
    <w:rsid w:val="00D92FE7"/>
    <w:rsid w:val="00D9320E"/>
    <w:rsid w:val="00D94D99"/>
    <w:rsid w:val="00D958C6"/>
    <w:rsid w:val="00D96E84"/>
    <w:rsid w:val="00D977D5"/>
    <w:rsid w:val="00DA191A"/>
    <w:rsid w:val="00DA560D"/>
    <w:rsid w:val="00DA74D1"/>
    <w:rsid w:val="00DB0090"/>
    <w:rsid w:val="00DB01BC"/>
    <w:rsid w:val="00DB06B6"/>
    <w:rsid w:val="00DB12F3"/>
    <w:rsid w:val="00DB251B"/>
    <w:rsid w:val="00DB29EF"/>
    <w:rsid w:val="00DB3339"/>
    <w:rsid w:val="00DB3538"/>
    <w:rsid w:val="00DB55FB"/>
    <w:rsid w:val="00DB5A5E"/>
    <w:rsid w:val="00DB7F89"/>
    <w:rsid w:val="00DC20CB"/>
    <w:rsid w:val="00DC2CBD"/>
    <w:rsid w:val="00DC35A3"/>
    <w:rsid w:val="00DC360B"/>
    <w:rsid w:val="00DC363E"/>
    <w:rsid w:val="00DC456D"/>
    <w:rsid w:val="00DC4F71"/>
    <w:rsid w:val="00DC5239"/>
    <w:rsid w:val="00DC5C30"/>
    <w:rsid w:val="00DC5E15"/>
    <w:rsid w:val="00DC7129"/>
    <w:rsid w:val="00DD00D9"/>
    <w:rsid w:val="00DD06EB"/>
    <w:rsid w:val="00DD1A54"/>
    <w:rsid w:val="00DD24C3"/>
    <w:rsid w:val="00DD4536"/>
    <w:rsid w:val="00DD565B"/>
    <w:rsid w:val="00DD5E8D"/>
    <w:rsid w:val="00DD7123"/>
    <w:rsid w:val="00DD7EB5"/>
    <w:rsid w:val="00DE0B7E"/>
    <w:rsid w:val="00DE1329"/>
    <w:rsid w:val="00DE3E62"/>
    <w:rsid w:val="00DE42B9"/>
    <w:rsid w:val="00DE53E3"/>
    <w:rsid w:val="00DE67D7"/>
    <w:rsid w:val="00DE6D37"/>
    <w:rsid w:val="00DF04D2"/>
    <w:rsid w:val="00DF22D3"/>
    <w:rsid w:val="00DF2BBB"/>
    <w:rsid w:val="00DF34F8"/>
    <w:rsid w:val="00DF4E13"/>
    <w:rsid w:val="00DF5C75"/>
    <w:rsid w:val="00DF61F4"/>
    <w:rsid w:val="00DF776C"/>
    <w:rsid w:val="00DF79A4"/>
    <w:rsid w:val="00E006D9"/>
    <w:rsid w:val="00E00CC2"/>
    <w:rsid w:val="00E0365A"/>
    <w:rsid w:val="00E047BF"/>
    <w:rsid w:val="00E04DAC"/>
    <w:rsid w:val="00E05643"/>
    <w:rsid w:val="00E064B4"/>
    <w:rsid w:val="00E074FA"/>
    <w:rsid w:val="00E07735"/>
    <w:rsid w:val="00E07746"/>
    <w:rsid w:val="00E07806"/>
    <w:rsid w:val="00E07870"/>
    <w:rsid w:val="00E10596"/>
    <w:rsid w:val="00E10FFD"/>
    <w:rsid w:val="00E11299"/>
    <w:rsid w:val="00E11400"/>
    <w:rsid w:val="00E116D1"/>
    <w:rsid w:val="00E12513"/>
    <w:rsid w:val="00E14BCC"/>
    <w:rsid w:val="00E16157"/>
    <w:rsid w:val="00E174EA"/>
    <w:rsid w:val="00E20CE8"/>
    <w:rsid w:val="00E2135B"/>
    <w:rsid w:val="00E22CBF"/>
    <w:rsid w:val="00E235CD"/>
    <w:rsid w:val="00E2456F"/>
    <w:rsid w:val="00E25210"/>
    <w:rsid w:val="00E2527D"/>
    <w:rsid w:val="00E258DD"/>
    <w:rsid w:val="00E25A21"/>
    <w:rsid w:val="00E301C2"/>
    <w:rsid w:val="00E30A99"/>
    <w:rsid w:val="00E30D99"/>
    <w:rsid w:val="00E311F1"/>
    <w:rsid w:val="00E326E6"/>
    <w:rsid w:val="00E32CD5"/>
    <w:rsid w:val="00E33D65"/>
    <w:rsid w:val="00E34CD8"/>
    <w:rsid w:val="00E352A7"/>
    <w:rsid w:val="00E35ADA"/>
    <w:rsid w:val="00E35CB2"/>
    <w:rsid w:val="00E37057"/>
    <w:rsid w:val="00E409D3"/>
    <w:rsid w:val="00E4118D"/>
    <w:rsid w:val="00E42070"/>
    <w:rsid w:val="00E42294"/>
    <w:rsid w:val="00E44906"/>
    <w:rsid w:val="00E45B34"/>
    <w:rsid w:val="00E45FCF"/>
    <w:rsid w:val="00E460E2"/>
    <w:rsid w:val="00E46744"/>
    <w:rsid w:val="00E46A0A"/>
    <w:rsid w:val="00E47213"/>
    <w:rsid w:val="00E4771A"/>
    <w:rsid w:val="00E47CEC"/>
    <w:rsid w:val="00E47E18"/>
    <w:rsid w:val="00E50E29"/>
    <w:rsid w:val="00E524C1"/>
    <w:rsid w:val="00E538CB"/>
    <w:rsid w:val="00E53DD6"/>
    <w:rsid w:val="00E53DFB"/>
    <w:rsid w:val="00E546A4"/>
    <w:rsid w:val="00E54DB5"/>
    <w:rsid w:val="00E5704D"/>
    <w:rsid w:val="00E60B34"/>
    <w:rsid w:val="00E61D48"/>
    <w:rsid w:val="00E636AE"/>
    <w:rsid w:val="00E637C7"/>
    <w:rsid w:val="00E63E39"/>
    <w:rsid w:val="00E64832"/>
    <w:rsid w:val="00E65605"/>
    <w:rsid w:val="00E67E38"/>
    <w:rsid w:val="00E7050A"/>
    <w:rsid w:val="00E718A5"/>
    <w:rsid w:val="00E7276C"/>
    <w:rsid w:val="00E745C3"/>
    <w:rsid w:val="00E749C7"/>
    <w:rsid w:val="00E74EFB"/>
    <w:rsid w:val="00E7510E"/>
    <w:rsid w:val="00E7564C"/>
    <w:rsid w:val="00E765BC"/>
    <w:rsid w:val="00E81AB0"/>
    <w:rsid w:val="00E82636"/>
    <w:rsid w:val="00E85A7E"/>
    <w:rsid w:val="00E85B0E"/>
    <w:rsid w:val="00E87982"/>
    <w:rsid w:val="00E902F1"/>
    <w:rsid w:val="00E90E81"/>
    <w:rsid w:val="00E92FEB"/>
    <w:rsid w:val="00E94EA7"/>
    <w:rsid w:val="00E97362"/>
    <w:rsid w:val="00E97AE9"/>
    <w:rsid w:val="00EA1C48"/>
    <w:rsid w:val="00EA251C"/>
    <w:rsid w:val="00EA53DD"/>
    <w:rsid w:val="00EB01FF"/>
    <w:rsid w:val="00EB0A2D"/>
    <w:rsid w:val="00EB3D07"/>
    <w:rsid w:val="00EB5D2D"/>
    <w:rsid w:val="00EB6019"/>
    <w:rsid w:val="00EC015F"/>
    <w:rsid w:val="00EC159D"/>
    <w:rsid w:val="00EC3BBD"/>
    <w:rsid w:val="00EC45D3"/>
    <w:rsid w:val="00EC45EE"/>
    <w:rsid w:val="00EC50A7"/>
    <w:rsid w:val="00EC5D59"/>
    <w:rsid w:val="00EC5F0C"/>
    <w:rsid w:val="00EC68F9"/>
    <w:rsid w:val="00EC7AE0"/>
    <w:rsid w:val="00ED0FC4"/>
    <w:rsid w:val="00ED1627"/>
    <w:rsid w:val="00ED27EB"/>
    <w:rsid w:val="00ED3C4B"/>
    <w:rsid w:val="00ED3D08"/>
    <w:rsid w:val="00ED4153"/>
    <w:rsid w:val="00ED4CBC"/>
    <w:rsid w:val="00ED57F7"/>
    <w:rsid w:val="00ED59E9"/>
    <w:rsid w:val="00ED7232"/>
    <w:rsid w:val="00ED7C81"/>
    <w:rsid w:val="00EE19C1"/>
    <w:rsid w:val="00EE2438"/>
    <w:rsid w:val="00EE27A9"/>
    <w:rsid w:val="00EE3003"/>
    <w:rsid w:val="00EE5A31"/>
    <w:rsid w:val="00EE6074"/>
    <w:rsid w:val="00EE6503"/>
    <w:rsid w:val="00EE69C2"/>
    <w:rsid w:val="00EF02BA"/>
    <w:rsid w:val="00EF04DF"/>
    <w:rsid w:val="00EF117A"/>
    <w:rsid w:val="00EF11F9"/>
    <w:rsid w:val="00EF1424"/>
    <w:rsid w:val="00EF1A35"/>
    <w:rsid w:val="00EF1D69"/>
    <w:rsid w:val="00EF428B"/>
    <w:rsid w:val="00EF5F41"/>
    <w:rsid w:val="00F0092F"/>
    <w:rsid w:val="00F01623"/>
    <w:rsid w:val="00F01F48"/>
    <w:rsid w:val="00F02BE7"/>
    <w:rsid w:val="00F04406"/>
    <w:rsid w:val="00F069CB"/>
    <w:rsid w:val="00F06EAA"/>
    <w:rsid w:val="00F10836"/>
    <w:rsid w:val="00F1189D"/>
    <w:rsid w:val="00F119DD"/>
    <w:rsid w:val="00F11AC7"/>
    <w:rsid w:val="00F11CE2"/>
    <w:rsid w:val="00F1216A"/>
    <w:rsid w:val="00F12AC6"/>
    <w:rsid w:val="00F1368E"/>
    <w:rsid w:val="00F13697"/>
    <w:rsid w:val="00F13B9D"/>
    <w:rsid w:val="00F17E28"/>
    <w:rsid w:val="00F17EC3"/>
    <w:rsid w:val="00F20645"/>
    <w:rsid w:val="00F21FBE"/>
    <w:rsid w:val="00F2233A"/>
    <w:rsid w:val="00F230A7"/>
    <w:rsid w:val="00F244EF"/>
    <w:rsid w:val="00F26CA8"/>
    <w:rsid w:val="00F26EBD"/>
    <w:rsid w:val="00F2717F"/>
    <w:rsid w:val="00F30586"/>
    <w:rsid w:val="00F312C3"/>
    <w:rsid w:val="00F31386"/>
    <w:rsid w:val="00F34626"/>
    <w:rsid w:val="00F358D2"/>
    <w:rsid w:val="00F359A4"/>
    <w:rsid w:val="00F36D8F"/>
    <w:rsid w:val="00F3794F"/>
    <w:rsid w:val="00F3796C"/>
    <w:rsid w:val="00F37BB5"/>
    <w:rsid w:val="00F403F7"/>
    <w:rsid w:val="00F406AB"/>
    <w:rsid w:val="00F4087E"/>
    <w:rsid w:val="00F4233C"/>
    <w:rsid w:val="00F428D3"/>
    <w:rsid w:val="00F42BAA"/>
    <w:rsid w:val="00F435FD"/>
    <w:rsid w:val="00F43999"/>
    <w:rsid w:val="00F44929"/>
    <w:rsid w:val="00F44B9B"/>
    <w:rsid w:val="00F44C25"/>
    <w:rsid w:val="00F4585F"/>
    <w:rsid w:val="00F4598D"/>
    <w:rsid w:val="00F45B7A"/>
    <w:rsid w:val="00F46473"/>
    <w:rsid w:val="00F46B5D"/>
    <w:rsid w:val="00F54615"/>
    <w:rsid w:val="00F56FA3"/>
    <w:rsid w:val="00F5757F"/>
    <w:rsid w:val="00F6079E"/>
    <w:rsid w:val="00F60B1D"/>
    <w:rsid w:val="00F61384"/>
    <w:rsid w:val="00F61F64"/>
    <w:rsid w:val="00F61FAF"/>
    <w:rsid w:val="00F62711"/>
    <w:rsid w:val="00F657EA"/>
    <w:rsid w:val="00F661F5"/>
    <w:rsid w:val="00F664BF"/>
    <w:rsid w:val="00F67BD9"/>
    <w:rsid w:val="00F7098D"/>
    <w:rsid w:val="00F71605"/>
    <w:rsid w:val="00F71932"/>
    <w:rsid w:val="00F71C4F"/>
    <w:rsid w:val="00F7249A"/>
    <w:rsid w:val="00F731E8"/>
    <w:rsid w:val="00F754B9"/>
    <w:rsid w:val="00F75863"/>
    <w:rsid w:val="00F75F2E"/>
    <w:rsid w:val="00F764F2"/>
    <w:rsid w:val="00F76842"/>
    <w:rsid w:val="00F77556"/>
    <w:rsid w:val="00F77D17"/>
    <w:rsid w:val="00F80F72"/>
    <w:rsid w:val="00F8178A"/>
    <w:rsid w:val="00F82853"/>
    <w:rsid w:val="00F834AF"/>
    <w:rsid w:val="00F83C0B"/>
    <w:rsid w:val="00F84249"/>
    <w:rsid w:val="00F84A82"/>
    <w:rsid w:val="00F84CAC"/>
    <w:rsid w:val="00F84ED3"/>
    <w:rsid w:val="00F85794"/>
    <w:rsid w:val="00F85CF7"/>
    <w:rsid w:val="00F86870"/>
    <w:rsid w:val="00F90E3D"/>
    <w:rsid w:val="00F90F65"/>
    <w:rsid w:val="00F9155C"/>
    <w:rsid w:val="00F934CC"/>
    <w:rsid w:val="00F94A93"/>
    <w:rsid w:val="00F94CAB"/>
    <w:rsid w:val="00F95F5E"/>
    <w:rsid w:val="00F9623E"/>
    <w:rsid w:val="00F96673"/>
    <w:rsid w:val="00FA0A88"/>
    <w:rsid w:val="00FA109A"/>
    <w:rsid w:val="00FA237F"/>
    <w:rsid w:val="00FA2C0C"/>
    <w:rsid w:val="00FA31D1"/>
    <w:rsid w:val="00FA3B44"/>
    <w:rsid w:val="00FA467B"/>
    <w:rsid w:val="00FA4945"/>
    <w:rsid w:val="00FA6356"/>
    <w:rsid w:val="00FA680D"/>
    <w:rsid w:val="00FA6919"/>
    <w:rsid w:val="00FA6B16"/>
    <w:rsid w:val="00FB0367"/>
    <w:rsid w:val="00FB084A"/>
    <w:rsid w:val="00FB0DA6"/>
    <w:rsid w:val="00FB0EE0"/>
    <w:rsid w:val="00FB1F6B"/>
    <w:rsid w:val="00FB21D1"/>
    <w:rsid w:val="00FB27EF"/>
    <w:rsid w:val="00FB3953"/>
    <w:rsid w:val="00FB3D54"/>
    <w:rsid w:val="00FB42DF"/>
    <w:rsid w:val="00FB58A0"/>
    <w:rsid w:val="00FB627A"/>
    <w:rsid w:val="00FB7100"/>
    <w:rsid w:val="00FB751D"/>
    <w:rsid w:val="00FC045F"/>
    <w:rsid w:val="00FC0DAA"/>
    <w:rsid w:val="00FC276C"/>
    <w:rsid w:val="00FC294D"/>
    <w:rsid w:val="00FC536D"/>
    <w:rsid w:val="00FC5489"/>
    <w:rsid w:val="00FC5F69"/>
    <w:rsid w:val="00FC62E5"/>
    <w:rsid w:val="00FC6FEE"/>
    <w:rsid w:val="00FC74A2"/>
    <w:rsid w:val="00FD08DC"/>
    <w:rsid w:val="00FD3708"/>
    <w:rsid w:val="00FD436F"/>
    <w:rsid w:val="00FD4370"/>
    <w:rsid w:val="00FD57B5"/>
    <w:rsid w:val="00FD5B8E"/>
    <w:rsid w:val="00FD6886"/>
    <w:rsid w:val="00FD6995"/>
    <w:rsid w:val="00FD75DD"/>
    <w:rsid w:val="00FE0232"/>
    <w:rsid w:val="00FE2596"/>
    <w:rsid w:val="00FE2D6D"/>
    <w:rsid w:val="00FE39C3"/>
    <w:rsid w:val="00FE40EB"/>
    <w:rsid w:val="00FE41D6"/>
    <w:rsid w:val="00FE4B03"/>
    <w:rsid w:val="00FE599C"/>
    <w:rsid w:val="00FE5D03"/>
    <w:rsid w:val="00FE690A"/>
    <w:rsid w:val="00FF0338"/>
    <w:rsid w:val="00FF0724"/>
    <w:rsid w:val="00FF2A79"/>
    <w:rsid w:val="00FF2C7D"/>
    <w:rsid w:val="00FF3408"/>
    <w:rsid w:val="00FF6F7E"/>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19F"/>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TableauPuce1">
    <w:name w:val="Tableau Puce 1"/>
    <w:basedOn w:val="Normal"/>
    <w:qFormat/>
    <w:rsid w:val="003D219F"/>
    <w:pPr>
      <w:numPr>
        <w:numId w:val="47"/>
      </w:numPr>
      <w:ind w:left="397" w:hanging="284"/>
    </w:pPr>
    <w:rPr>
      <w:rFonts w:cs="Times New Roman"/>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Bullets,Heading II,L,List Bullet Mar,List Paragraph (numbered (a)),List Paragraph nowy,List Paragraph1,Liste 1,Main numbered paragraph,Medium Grid 1 - Accent 21,Numbered List Paragraph,Numbered Paragraph,ReferencesCxSpLast,3"/>
    <w:basedOn w:val="Normal"/>
    <w:link w:val="ListParagraphChar"/>
    <w:uiPriority w:val="34"/>
    <w:qFormat/>
    <w:rsid w:val="00E10FFD"/>
    <w:pPr>
      <w:spacing w:after="120"/>
      <w:ind w:left="1706" w:hanging="357"/>
      <w:jc w:val="both"/>
    </w:pPr>
    <w:rPr>
      <w:rFonts w:cs="Times New Roman"/>
    </w:rPr>
  </w:style>
  <w:style w:type="character" w:customStyle="1" w:styleId="ListParagraphChar">
    <w:name w:val="List Paragraph Char"/>
    <w:aliases w:val="Bullets Char,Heading II Char,L Char,List Bullet Mar Char,List Paragraph (numbered (a)) Char,List Paragraph nowy Char,List Paragraph1 Char,Liste 1 Char,Main numbered paragraph Char,Medium Grid 1 - Accent 21 Char,3 Char"/>
    <w:basedOn w:val="DefaultParagraphFont"/>
    <w:link w:val="ListParagraph"/>
    <w:uiPriority w:val="34"/>
    <w:qFormat/>
    <w:rsid w:val="00E10FFD"/>
    <w:rPr>
      <w:rFonts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ESSHeading">
    <w:name w:val="ESS Heading"/>
    <w:basedOn w:val="Normal"/>
    <w:qFormat/>
    <w:rsid w:val="004B2920"/>
    <w:pPr>
      <w:keepNext/>
      <w:keepLines/>
      <w:widowControl w:val="0"/>
      <w:spacing w:before="60" w:after="60"/>
    </w:pPr>
    <w:rPr>
      <w:rFonts w:cstheme="minorHAnsi"/>
      <w:b/>
      <w:bCs/>
      <w:sz w:val="24"/>
    </w:rPr>
  </w:style>
  <w:style w:type="paragraph" w:styleId="NormalWeb">
    <w:name w:val="Normal (Web)"/>
    <w:basedOn w:val="Normal"/>
    <w:uiPriority w:val="99"/>
    <w:semiHidden/>
    <w:unhideWhenUsed/>
    <w:rsid w:val="000A0AEB"/>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497F9A"/>
  </w:style>
  <w:style w:type="paragraph" w:customStyle="1" w:styleId="HeadingMeasure">
    <w:name w:val="Heading Measure"/>
    <w:basedOn w:val="Normal"/>
    <w:qFormat/>
    <w:rsid w:val="009918CD"/>
    <w:pPr>
      <w:keepNext/>
      <w:keepLines/>
      <w:widowControl w:val="0"/>
      <w:spacing w:before="60" w:after="120"/>
    </w:pPr>
    <w:rPr>
      <w:rFonts w:cstheme="minorHAnsi"/>
      <w:b/>
      <w:caps/>
      <w:color w:val="5B9BD5" w:themeColor="accent5"/>
    </w:rPr>
  </w:style>
  <w:style w:type="paragraph" w:customStyle="1" w:styleId="Tablelistnumber">
    <w:name w:val="Table list number"/>
    <w:basedOn w:val="Normal"/>
    <w:qFormat/>
    <w:rsid w:val="004B2920"/>
    <w:pPr>
      <w:numPr>
        <w:numId w:val="49"/>
      </w:numPr>
      <w:spacing w:before="40" w:after="40"/>
      <w:ind w:left="397" w:hanging="170"/>
    </w:pPr>
  </w:style>
  <w:style w:type="character" w:styleId="PlaceholderText">
    <w:name w:val="Placeholder Text"/>
    <w:basedOn w:val="DefaultParagraphFont"/>
    <w:uiPriority w:val="99"/>
    <w:semiHidden/>
    <w:rsid w:val="00C355AE"/>
    <w:rPr>
      <w:color w:val="808080"/>
    </w:rPr>
  </w:style>
  <w:style w:type="paragraph" w:customStyle="1" w:styleId="Puce1">
    <w:name w:val="Puce 1"/>
    <w:basedOn w:val="Normal"/>
    <w:rsid w:val="00ED4153"/>
    <w:pPr>
      <w:numPr>
        <w:numId w:val="31"/>
      </w:numPr>
    </w:pPr>
    <w:rPr>
      <w:rFonts w:eastAsiaTheme="minorHAnsi"/>
    </w:rPr>
  </w:style>
  <w:style w:type="paragraph" w:customStyle="1" w:styleId="Tableauparagraphe">
    <w:name w:val="Tableau paragraphe"/>
    <w:basedOn w:val="Normal"/>
    <w:qFormat/>
    <w:rsid w:val="00E10FFD"/>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14553">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6599586D68C4499F0B42B55667013" ma:contentTypeVersion="8" ma:contentTypeDescription="Create a new document." ma:contentTypeScope="" ma:versionID="a2834f2fa92cace44bf1242e3364134f">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585973c053de73b218e72a24dad9b1e2"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DocumentTagged xmlns="32c064bd-4c64-4320-b7de-a92df0e05481"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32c064bd-4c64-4320-b7de-a92df0e05481" xsi:nil="true"/>
    <SubmitToImageBank xmlns="32c064bd-4c64-4320-b7de-a92df0e05481"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3E4CB88-FFE3-463E-A514-8C630FD67C3D}">
  <ds:schemaRefs>
    <ds:schemaRef ds:uri="http://schemas.openxmlformats.org/officeDocument/2006/bibliography"/>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03D53B01-BC11-4DE1-AA69-0039F39AF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064bd-4c64-4320-b7de-a92df0e05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32c064bd-4c64-4320-b7de-a92df0e0548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5175</Words>
  <Characters>29499</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ESCP PPA__Projet Maingo_29_jan_2021_Legal_Draft 2-18-21</vt:lpstr>
      <vt:lpstr>ESFGUS20-P171158-449650-CAR_Human_Capital_Project_P171158_ESCP_PPA_Version1.docx</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Tazeem Mawji</cp:lastModifiedBy>
  <cp:revision>3</cp:revision>
  <cp:lastPrinted>2021-04-15T00:56:00Z</cp:lastPrinted>
  <dcterms:created xsi:type="dcterms:W3CDTF">2021-04-21T16:59:00Z</dcterms:created>
  <dcterms:modified xsi:type="dcterms:W3CDTF">2021-04-21T17:05:00Z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0x0101007AB6599586D68C4499F0B42B55667013</vt:lpwstr>
  </property>
  <property fmtid="{D5CDD505-2E9C-101B-9397-08002B2CF9AE}" pid="3" name="WBDocs_Originating_Unit">
    <vt:lpwstr>5;#Legal - AFR and MENA Regions (LEGAM)|0e842b7c-e8b1-44a4-b63c-e2fec367d9b3</vt:lpwstr>
  </property>
  <property fmtid="{D5CDD505-2E9C-101B-9397-08002B2CF9AE}" pid="4" name="WBDocs_Local_Document_Type">
    <vt:lpwstr/>
  </property>
  <property fmtid="{D5CDD505-2E9C-101B-9397-08002B2CF9AE}" pid="5" name="ProofOfDelivery">
    <vt:lpwstr/>
  </property>
  <property fmtid="{D5CDD505-2E9C-101B-9397-08002B2CF9AE}" pid="6" name="WbDocsObjectId">
    <vt:lpwstr/>
  </property>
  <property fmtid="{D5CDD505-2E9C-101B-9397-08002B2CF9AE}" pid="7" name="RatedBy">
    <vt:lpwstr/>
  </property>
  <property fmtid="{D5CDD505-2E9C-101B-9397-08002B2CF9AE}" pid="8" name="IsDocumentTagged">
    <vt:lpwstr/>
  </property>
  <property fmtid="{D5CDD505-2E9C-101B-9397-08002B2CF9AE}" pid="9" name="LikedBy">
    <vt:lpwstr/>
  </property>
  <property fmtid="{D5CDD505-2E9C-101B-9397-08002B2CF9AE}" pid="10" name="Ratings">
    <vt:lpwstr/>
  </property>
  <property fmtid="{D5CDD505-2E9C-101B-9397-08002B2CF9AE}" pid="11" name="Cordis ID">
    <vt:lpwstr>PROJDOCESCP001</vt:lpwstr>
  </property>
  <property fmtid="{D5CDD505-2E9C-101B-9397-08002B2CF9AE}" pid="12" name="Stage">
    <vt:lpwstr>APR</vt:lpwstr>
  </property>
  <property fmtid="{D5CDD505-2E9C-101B-9397-08002B2CF9AE}" pid="13" name="IsTemplate">
    <vt:bool>false</vt:bool>
  </property>
  <property fmtid="{D5CDD505-2E9C-101B-9397-08002B2CF9AE}" pid="14" name="HasUserUploaded">
    <vt:bool>true</vt:bool>
  </property>
  <property fmtid="{D5CDD505-2E9C-101B-9397-08002B2CF9AE}" pid="15" name="WBDocType">
    <vt:lpwstr/>
  </property>
  <property fmtid="{D5CDD505-2E9C-101B-9397-08002B2CF9AE}" pid="16" name="ProjectID">
    <vt:lpwstr>P171158</vt:lpwstr>
  </property>
  <property fmtid="{D5CDD505-2E9C-101B-9397-08002B2CF9AE}" pid="17" name="Task ID">
    <vt:lpwstr>PRC0034116</vt:lpwstr>
  </property>
</Properties>
</file>