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cstheme="minorHAnsi"/>
        </w:rPr>
        <w:id w:val="625582543"/>
        <w:docPartObj>
          <w:docPartGallery w:val="Cover Pages"/>
          <w:docPartUnique/>
        </w:docPartObj>
      </w:sdtPr>
      <w:sdtEndPr>
        <w:rPr>
          <w:b/>
        </w:rPr>
      </w:sdtEndPr>
      <w:sdtContent>
        <w:p w14:paraId="6EA57E24" w14:textId="13F3E011" w:rsidR="00E02032" w:rsidRPr="00AB1CF4" w:rsidRDefault="005916A4" w:rsidP="00E02032">
          <w:pPr>
            <w:rPr>
              <w:rFonts w:cstheme="minorHAnsi"/>
            </w:rPr>
          </w:pPr>
          <w:r w:rsidRPr="00AB1CF4">
            <w:rPr>
              <w:rFonts w:cstheme="minorHAnsi"/>
              <w:noProof/>
              <w:lang w:eastAsia="fr-FR"/>
            </w:rPr>
            <mc:AlternateContent>
              <mc:Choice Requires="wps">
                <w:drawing>
                  <wp:anchor distT="0" distB="0" distL="114300" distR="114300" simplePos="0" relativeHeight="251659264" behindDoc="0" locked="0" layoutInCell="1" allowOverlap="1" wp14:anchorId="60CB4E6F" wp14:editId="7152639E">
                    <wp:simplePos x="0" y="0"/>
                    <wp:positionH relativeFrom="page">
                      <wp:posOffset>3364865</wp:posOffset>
                    </wp:positionH>
                    <wp:positionV relativeFrom="page">
                      <wp:posOffset>330835</wp:posOffset>
                    </wp:positionV>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3701027A" id="Rectangle 468" o:spid="_x0000_s1026" style="position:absolute;margin-left:264.95pt;margin-top:26.05pt;width:244.8pt;height:554.4pt;z-index:251659264;visibility:visible;mso-wrap-style:square;mso-width-percent:400;mso-height-percent:700;mso-wrap-distance-left:9pt;mso-wrap-distance-top:0;mso-wrap-distance-right:9pt;mso-wrap-distance-bottom:0;mso-position-horizontal:absolute;mso-position-horizontal-relative:page;mso-position-vertical:absolute;mso-position-vertical-relative:page;mso-width-percent:40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OPv1wN4AAAAMAQAA&#10;DwAAAGRycy9kb3ducmV2LnhtbEyPsU7DMBCGdyTewbpKbNRJRSsS4lQFiQ2GpCxsdnKNo9rnELtN&#10;+vY4E2z/6T79912xn61hVxx970hAuk6AITWu7akT8HV8f3wG5oOkVhpHKOCGHvbl/V0h89ZNVOG1&#10;Dh2LJeRzKUCHMOSc+0ajlX7tBqS4O7nRyhDHsePtKKdYbg3fJMmOW9lTvKDlgG8am3N9sQKqk1Lq&#10;85V0fZOmwqf08P3zMQnxsJoPL8ACzuEPhkU/qkMZnZS7UOuZEbDdZFlEl5ACW4AkzbbAVEzpLsmA&#10;lwX//0T5CwAA//8DAFBLAQItABQABgAIAAAAIQC2gziS/gAAAOEBAAATAAAAAAAAAAAAAAAAAAAA&#10;AABbQ29udGVudF9UeXBlc10ueG1sUEsBAi0AFAAGAAgAAAAhADj9If/WAAAAlAEAAAsAAAAAAAAA&#10;AAAAAAAALwEAAF9yZWxzLy5yZWxzUEsBAi0AFAAGAAgAAAAhAB2P+larAgAA3wUAAA4AAAAAAAAA&#10;AAAAAAAALgIAAGRycy9lMm9Eb2MueG1sUEsBAi0AFAAGAAgAAAAhADj79cDeAAAADAEAAA8AAAAA&#10;AAAAAAAAAAAABQUAAGRycy9kb3ducmV2LnhtbFBLBQYAAAAABAAEAPMAAAAQBgAAAAA=&#10;" fillcolor="white [3212]" strokecolor="#747070 [1614]" strokeweight="1.25pt">
                    <w10:wrap anchorx="page" anchory="page"/>
                  </v:rect>
                </w:pict>
              </mc:Fallback>
            </mc:AlternateContent>
          </w:r>
          <w:r w:rsidR="00E02032" w:rsidRPr="00AB1CF4">
            <w:rPr>
              <w:rFonts w:cstheme="minorHAnsi"/>
              <w:noProof/>
              <w:lang w:eastAsia="fr-FR"/>
            </w:rPr>
            <mc:AlternateContent>
              <mc:Choice Requires="wps">
                <w:drawing>
                  <wp:anchor distT="0" distB="0" distL="114300" distR="114300" simplePos="0" relativeHeight="251663360" behindDoc="1" locked="0" layoutInCell="1" allowOverlap="1" wp14:anchorId="5FFF0927" wp14:editId="560EF6EE">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394522B0" w14:textId="77777777" w:rsidR="00E02032" w:rsidRDefault="00E02032" w:rsidP="00E02032"/>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FFF0927" id="Rectangle 466"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qi0wIAAIQ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Hv17cgX5AbfFQDwj&#10;VvPrCsdyyay7YwbvBo4y3kJ3i59Cwi6j0FCUlGB+nOJ7fVxnlFKywzuUUft9w4ygRH5WOLSD6Wg4&#10;8JcrvEbjqX+YV6LVsUht6kvAue7j3dU8kN7AyZYsDNRPeDQXPi6KmOIYPaPcmfZx6eKFxLPLxWIR&#10;1PBcaeaW6kFz79xD7Bfvcf/EjG620+Fi30B7tVj6ZkmjrrdUsNg4KKqwwS/INuDjqYsbFc+yv6XH&#10;76D18vOYPwMAAP//AwBQSwMEFAAGAAgAAAAhALt8QwzdAAAABwEAAA8AAABkcnMvZG93bnJldi54&#10;bWxMjzFPw0AMhXck/sPJSCwVvbRqoyrkUlGksjEQunS75NwkImdHuWsb/j0uCyyWrff0/L18O/le&#10;XXAMHZOBxTwBhVSz66gxcPjcP21AhWjJ2Z4JDXxjgG1xf5fbzPGVPvBSxkZJCIXMGmhjHDKtQ92i&#10;t2HOA5JoJx69jXKOjXajvUq47/UySVLtbUfyobUDvrZYf5Vnb2CfxmN34uPb+jBLh1m5W71XOzbm&#10;8WF6eQYVcYp/ZrjhCzoUwlTxmVxQvQEpEn/nTVukS+lRybZOVhvQRa7/8xc/AAAA//8DAFBLAQIt&#10;ABQABgAIAAAAIQC2gziS/gAAAOEBAAATAAAAAAAAAAAAAAAAAAAAAABbQ29udGVudF9UeXBlc10u&#10;eG1sUEsBAi0AFAAGAAgAAAAhADj9If/WAAAAlAEAAAsAAAAAAAAAAAAAAAAALwEAAF9yZWxzLy5y&#10;ZWxzUEsBAi0AFAAGAAgAAAAhAMiUOqLTAgAAhAYAAA4AAAAAAAAAAAAAAAAALgIAAGRycy9lMm9E&#10;b2MueG1sUEsBAi0AFAAGAAgAAAAhALt8QwzdAAAABwEAAA8AAAAAAAAAAAAAAAAALQUAAGRycy9k&#10;b3ducmV2LnhtbFBLBQYAAAAABAAEAPMAAAA3BgAAAAA=&#10;" fillcolor="#d9e2f3 [660]" stroked="f" strokeweight="1pt">
                    <v:fill color2="#8eaadb [1940]" rotate="t" focus="100%" type="gradient">
                      <o:fill v:ext="view" type="gradientUnscaled"/>
                    </v:fill>
                    <v:textbox inset="21.6pt,,21.6pt">
                      <w:txbxContent>
                        <w:p w14:paraId="394522B0" w14:textId="77777777" w:rsidR="00E02032" w:rsidRDefault="00E02032" w:rsidP="00E02032"/>
                      </w:txbxContent>
                    </v:textbox>
                    <w10:wrap anchorx="page" anchory="page"/>
                  </v:rect>
                </w:pict>
              </mc:Fallback>
            </mc:AlternateContent>
          </w:r>
          <w:r w:rsidR="00E02032" w:rsidRPr="00AB1CF4">
            <w:rPr>
              <w:rFonts w:cstheme="minorHAnsi"/>
              <w:noProof/>
              <w:lang w:eastAsia="fr-FR"/>
            </w:rPr>
            <mc:AlternateContent>
              <mc:Choice Requires="wps">
                <w:drawing>
                  <wp:anchor distT="0" distB="0" distL="114300" distR="114300" simplePos="0" relativeHeight="251660288" behindDoc="0" locked="0" layoutInCell="1" allowOverlap="1" wp14:anchorId="1723F988" wp14:editId="7CA1106A">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64B4ED" w14:textId="77777777" w:rsidR="00E02032" w:rsidRPr="0070680D" w:rsidRDefault="00E02032" w:rsidP="00E02032">
                                <w:pPr>
                                  <w:jc w:val="both"/>
                                  <w:rPr>
                                    <w:rFonts w:cstheme="minorHAnsi"/>
                                    <w:b/>
                                    <w:sz w:val="28"/>
                                    <w:szCs w:val="28"/>
                                  </w:rPr>
                                </w:pPr>
                                <w:r w:rsidRPr="0070680D">
                                  <w:rPr>
                                    <w:rFonts w:cstheme="minorHAnsi"/>
                                    <w:b/>
                                    <w:sz w:val="28"/>
                                    <w:szCs w:val="28"/>
                                  </w:rPr>
                                  <w:t xml:space="preserve">Évaluation et Plan d’action d’atténuation des risques de Violences Basées sur le Genre, Exploitation et Atteinte Sexuelles et Harcèlement Sexuel (EAS/HS) </w:t>
                                </w:r>
                              </w:p>
                              <w:p w14:paraId="177DA58B" w14:textId="77777777" w:rsidR="00E02032" w:rsidRPr="0070680D" w:rsidRDefault="00E02032" w:rsidP="00E02032">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1723F988" id="Rectangle 467"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7XoAIAAJ0FAAAOAAAAZHJzL2Uyb0RvYy54bWysVMlu2zAQvRfoPxC8N5KceqkROTAcuCgQ&#10;JEGSImeaIi0BFIclaUvu13dILW7SoIeiPtCzvFk1M1fXba3IUVhXgc5pdpFSIjSHotL7nH5/3n5a&#10;UOI80wVToEVOT8LR69XHD1eNWYoJlKAKYQk60W7ZmJyW3ptlkjheipq5CzBCo1KCrZlH1u6TwrIG&#10;vdcqmaTpLGnAFsYCF86h9KZT0lX0L6Xg/l5KJzxROcXcfHxtfHfhTVZXbLm3zJQV79Ng/5BFzSqN&#10;QUdXN8wzcrDVH67qiltwIP0FhzoBKSsuYg1YTZa+qeapZEbEWrA5zoxtcv/PLb87PlhSFTn9PJtT&#10;olmNH+kR28b0XgkShNiixrglIp/Mg+05h2Sot5W2Dv9YCWljW09jW0XrCUfhZDGffsmmlHDUXabZ&#10;fDqJjU/O5sY6/1VATQKRU4sJxHay463zGBKhAyREc6CqYlspFZkwK2KjLDky/Mq+nYSU0eIVSumA&#10;1RCsOnWQJKGyrpZI+ZMSAaf0o5DYlpB9TCQO5DkI41xon3WqkhWiiz1N8TdEH9KKuUSHwbPE+KPv&#10;3sGA7JwMvrsse3wwFXGeR+P0b4l1xqNFjAzaj8Z1pcG+50BhVX3kDj80qWtN6JJvd20cmYgMkh0U&#10;JxwjC91+OcO3FX7IW+b8A7O4ULh6eCT8PT5SQZNT6ClKSrA/35MHPM45ailpcEFz6n4cmBWUqG8a&#10;NyBbTBaLsNKvOPuK20XucjadzxCpD/UGcEIyPEmGRxKl1quBlBbqF7wn6xAZVUxzjJ/T3UBufHc6&#10;8B5xsV5HEO6xYf5WPxkeXIdOh1F9bl+YNf08e1yFOxjWmS3fjHWHDZYa1gcPsoozf+5s/w3wBsRh&#10;6u9VODK/8xF1vqqrXwAAAP//AwBQSwMEFAAGAAgAAAAhAHjHifzaAAAABQEAAA8AAABkcnMvZG93&#10;bnJldi54bWxMj0FLxEAMhe+C/2GI4KW4U6vdrrXTRQRF2JOrP2C2E9tiJ1M66W7990YvegkvvPDe&#10;l2q7+EEdcYp9IAPXqxQUUhNcT62B97enqw2oyJacHQKhgS+MsK3PzypbunCiVzzuuVUSQrG0Bjrm&#10;sdQ6Nh16G1dhRBLvI0zesqxTq91kTxLuB52l6Vp725M0dHbExw6bz/3sDTD2uzwUc/a8bpMXnWwo&#10;0cWNMZcXy8M9KMaF/47hB1/QoRamQ5jJRTUYkEf4d4p3m2d3oA4iijwDXVf6P339DQAA//8DAFBL&#10;AQItABQABgAIAAAAIQC2gziS/gAAAOEBAAATAAAAAAAAAAAAAAAAAAAAAABbQ29udGVudF9UeXBl&#10;c10ueG1sUEsBAi0AFAAGAAgAAAAhADj9If/WAAAAlAEAAAsAAAAAAAAAAAAAAAAALwEAAF9yZWxz&#10;Ly5yZWxzUEsBAi0AFAAGAAgAAAAhAFsgftegAgAAnQUAAA4AAAAAAAAAAAAAAAAALgIAAGRycy9l&#10;Mm9Eb2MueG1sUEsBAi0AFAAGAAgAAAAhAHjHifzaAAAABQEAAA8AAAAAAAAAAAAAAAAA+gQAAGRy&#10;cy9kb3ducmV2LnhtbFBLBQYAAAAABAAEAPMAAAABBgAAAAA=&#10;" fillcolor="#44546a [3215]" stroked="f" strokeweight="1pt">
                    <v:textbox inset="14.4pt,14.4pt,14.4pt,28.8pt">
                      <w:txbxContent>
                        <w:p w14:paraId="2964B4ED" w14:textId="77777777" w:rsidR="00E02032" w:rsidRPr="0070680D" w:rsidRDefault="00E02032" w:rsidP="00E02032">
                          <w:pPr>
                            <w:jc w:val="both"/>
                            <w:rPr>
                              <w:rFonts w:cstheme="minorHAnsi"/>
                              <w:b/>
                              <w:sz w:val="28"/>
                              <w:szCs w:val="28"/>
                            </w:rPr>
                          </w:pPr>
                          <w:r w:rsidRPr="0070680D">
                            <w:rPr>
                              <w:rFonts w:cstheme="minorHAnsi"/>
                              <w:b/>
                              <w:sz w:val="28"/>
                              <w:szCs w:val="28"/>
                            </w:rPr>
                            <w:t xml:space="preserve">Évaluation et Plan d’action d’atténuation des risques de Violences Basées sur le Genre, Exploitation et Atteinte Sexuelles et Harcèlement Sexuel (EAS/HS) </w:t>
                          </w:r>
                        </w:p>
                        <w:p w14:paraId="177DA58B" w14:textId="77777777" w:rsidR="00E02032" w:rsidRPr="0070680D" w:rsidRDefault="00E02032" w:rsidP="00E02032">
                          <w:pPr>
                            <w:spacing w:before="240"/>
                            <w:jc w:val="center"/>
                            <w:rPr>
                              <w:color w:val="FFFFFF" w:themeColor="background1"/>
                            </w:rPr>
                          </w:pPr>
                        </w:p>
                      </w:txbxContent>
                    </v:textbox>
                    <w10:wrap anchorx="page" anchory="page"/>
                  </v:rect>
                </w:pict>
              </mc:Fallback>
            </mc:AlternateContent>
          </w:r>
          <w:r w:rsidR="00E02032" w:rsidRPr="00AB1CF4">
            <w:rPr>
              <w:rFonts w:cstheme="minorHAnsi"/>
              <w:noProof/>
              <w:lang w:eastAsia="fr-FR"/>
            </w:rPr>
            <mc:AlternateContent>
              <mc:Choice Requires="wps">
                <w:drawing>
                  <wp:anchor distT="0" distB="0" distL="114300" distR="114300" simplePos="0" relativeHeight="251662336" behindDoc="0" locked="0" layoutInCell="1" allowOverlap="1" wp14:anchorId="2391D6F4" wp14:editId="2CF0075D">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3FFC3D2D"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4472c4 [3204]" stroked="f" strokeweight="1pt">
                    <w10:wrap anchorx="page" anchory="page"/>
                  </v:rect>
                </w:pict>
              </mc:Fallback>
            </mc:AlternateContent>
          </w:r>
          <w:r w:rsidR="00E02032" w:rsidRPr="00AB1CF4">
            <w:rPr>
              <w:rFonts w:cstheme="minorHAnsi"/>
              <w:noProof/>
              <w:lang w:eastAsia="fr-FR"/>
            </w:rPr>
            <mc:AlternateContent>
              <mc:Choice Requires="wps">
                <w:drawing>
                  <wp:anchor distT="0" distB="0" distL="114300" distR="114300" simplePos="0" relativeHeight="251661312" behindDoc="0" locked="0" layoutInCell="1" allowOverlap="1" wp14:anchorId="0F574185" wp14:editId="217950C7">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b/>
                                    <w:bCs/>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3F913DC0" w14:textId="0C96A733" w:rsidR="00E02032" w:rsidRPr="0070680D" w:rsidRDefault="00375AF9" w:rsidP="00E02032">
                                    <w:pPr>
                                      <w:spacing w:line="240" w:lineRule="auto"/>
                                      <w:rPr>
                                        <w:rFonts w:asciiTheme="majorHAnsi" w:eastAsiaTheme="majorEastAsia" w:hAnsiTheme="majorHAnsi" w:cstheme="majorBidi"/>
                                        <w:noProof/>
                                        <w:color w:val="44546A" w:themeColor="text2"/>
                                        <w:sz w:val="32"/>
                                        <w:szCs w:val="40"/>
                                      </w:rPr>
                                    </w:pPr>
                                    <w:r w:rsidRPr="00D16A06">
                                      <w:rPr>
                                        <w:b/>
                                        <w:bCs/>
                                      </w:rPr>
                                      <w:t>Projet Capital Humain</w:t>
                                    </w:r>
                                    <w:r>
                                      <w:rPr>
                                        <w:b/>
                                        <w:bCs/>
                                      </w:rPr>
                                      <w:t xml:space="preserve"> et Autonomisation des Filles</w:t>
                                    </w:r>
                                    <w:r w:rsidRPr="00D16A06">
                                      <w:rPr>
                                        <w:b/>
                                        <w:bCs/>
                                      </w:rPr>
                                      <w:t xml:space="preserve">   « </w:t>
                                    </w:r>
                                    <w:r w:rsidR="00E048E1">
                                      <w:rPr>
                                        <w:b/>
                                        <w:bCs/>
                                      </w:rPr>
                                      <w:t xml:space="preserve">Projet </w:t>
                                    </w:r>
                                    <w:r w:rsidRPr="00D16A06">
                                      <w:rPr>
                                        <w:b/>
                                        <w:bCs/>
                                      </w:rPr>
                                      <w:t>Maïngo » P171158</w:t>
                                    </w:r>
                                  </w:p>
                                </w:sdtContent>
                              </w:sdt>
                              <w:p w14:paraId="41FAC870" w14:textId="77777777" w:rsidR="00E02032" w:rsidRPr="0070680D" w:rsidRDefault="00E02032" w:rsidP="00E02032">
                                <w:pPr>
                                  <w:jc w:val="both"/>
                                  <w:rPr>
                                    <w:rFonts w:cstheme="minorHAnsi"/>
                                    <w:b/>
                                    <w:sz w:val="28"/>
                                    <w:szCs w:val="28"/>
                                  </w:rPr>
                                </w:pPr>
                                <w:r w:rsidRPr="0070680D">
                                  <w:rPr>
                                    <w:rFonts w:cstheme="minorHAnsi"/>
                                    <w:b/>
                                    <w:sz w:val="28"/>
                                    <w:szCs w:val="28"/>
                                  </w:rPr>
                                  <w:t xml:space="preserve">République Centrafricaine </w:t>
                                </w:r>
                              </w:p>
                              <w:p w14:paraId="4CE85AC9" w14:textId="285CC086" w:rsidR="00E02032" w:rsidRPr="0070680D" w:rsidRDefault="005916A4" w:rsidP="00E02032">
                                <w:pPr>
                                  <w:rPr>
                                    <w:rFonts w:asciiTheme="majorHAnsi" w:eastAsiaTheme="majorEastAsia" w:hAnsiTheme="majorHAnsi" w:cstheme="majorBidi"/>
                                    <w:noProof/>
                                    <w:color w:val="44546A" w:themeColor="text2"/>
                                    <w:sz w:val="24"/>
                                    <w:szCs w:val="32"/>
                                  </w:rPr>
                                </w:pPr>
                                <w:r>
                                  <w:rPr>
                                    <w:rFonts w:asciiTheme="majorHAnsi" w:eastAsiaTheme="majorEastAsia" w:hAnsiTheme="majorHAnsi" w:cstheme="majorBidi"/>
                                    <w:noProof/>
                                    <w:color w:val="44546A" w:themeColor="text2"/>
                                    <w:sz w:val="24"/>
                                    <w:szCs w:val="32"/>
                                  </w:rPr>
                                  <w:t>Mai</w:t>
                                </w:r>
                                <w:r w:rsidR="00E02032">
                                  <w:rPr>
                                    <w:rFonts w:asciiTheme="majorHAnsi" w:eastAsiaTheme="majorEastAsia" w:hAnsiTheme="majorHAnsi" w:cstheme="majorBidi"/>
                                    <w:noProof/>
                                    <w:color w:val="44546A" w:themeColor="text2"/>
                                    <w:sz w:val="24"/>
                                    <w:szCs w:val="32"/>
                                  </w:rPr>
                                  <w:t xml:space="preserve"> 2021</w:t>
                                </w:r>
                                <w:r w:rsidR="00BC37E0">
                                  <w:rPr>
                                    <w:rFonts w:asciiTheme="majorHAnsi" w:eastAsiaTheme="majorEastAsia" w:hAnsiTheme="majorHAnsi" w:cstheme="majorBidi"/>
                                    <w:noProof/>
                                    <w:color w:val="44546A" w:themeColor="text2"/>
                                    <w:sz w:val="24"/>
                                    <w:szCs w:val="32"/>
                                  </w:rPr>
                                  <w:t xml:space="preserve"> -v</w:t>
                                </w:r>
                                <w:r>
                                  <w:rPr>
                                    <w:rFonts w:asciiTheme="majorHAnsi" w:eastAsiaTheme="majorEastAsia" w:hAnsiTheme="majorHAnsi" w:cstheme="majorBidi"/>
                                    <w:noProof/>
                                    <w:color w:val="44546A" w:themeColor="text2"/>
                                    <w:sz w:val="24"/>
                                    <w:szCs w:val="32"/>
                                  </w:rPr>
                                  <w:t>ersion finale</w:t>
                                </w:r>
                                <w:r w:rsidR="00BC37E0">
                                  <w:rPr>
                                    <w:rFonts w:asciiTheme="majorHAnsi" w:eastAsiaTheme="majorEastAsia" w:hAnsiTheme="majorHAnsi" w:cstheme="majorBidi"/>
                                    <w:noProof/>
                                    <w:color w:val="44546A" w:themeColor="text2"/>
                                    <w:sz w:val="24"/>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0F574185" id="_x0000_t202" coordsize="21600,21600" o:spt="202" path="m,l,21600r21600,l21600,xe">
                    <v:stroke joinstyle="miter"/>
                    <v:path gradientshapeok="t" o:connecttype="rect"/>
                  </v:shapetype>
                  <v:shape id="Text Box 470" o:spid="_x0000_s1028"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4IOQIAAGsEAAAOAAAAZHJzL2Uyb0RvYy54bWysVF1v2jAUfZ+0/2D5fQRSKG1EqFgrpkmo&#10;rQRTn43jkEiO7dmGhP36HTtAUbenaS/O/fLxvffcm9lD10hyENbVWuV0NBhSIhTXRa12Of2xWX65&#10;o8R5pgomtRI5PQpHH+afP81ak4lUV1oWwhKAKJe1JqeV9yZLEscr0TA30EYoOEttG+ah2l1SWNYC&#10;vZFJOhzeJq22hbGaC+dgfeqddB7xy1Jw/1KWTngic4rcfDxtPLfhTOYzlu0sM1XNT2mwf8iiYbXC&#10;oxeoJ+YZ2dv6D6im5lY7XfoB102iy7LmItaAakbDD9WsK2ZErAXNcebSJvf/YPnz4dWSusjpeIr+&#10;KNaApI3oPPmqOxJs6FBrXIbAtUGo7+AA02e7gzEU3pW2CV+UROAH1vHS3wDHYUyn99O7EVwcvnQ8&#10;naQ3ET95v26s89+EbkgQcmpBYOwrO6ycRyoIPYeE15Re1lJGEqUibU5vbybDeOHiwQ2pQqyI43CC&#10;CSX1qQfJd9suNiE9l7XVxRHVWt1PjDN8WSOjFXP+lVmMCKrA2PsXHKXUeFmfJEoqbX/9zR7iwRy8&#10;lLQYuZy6n3tmBSXyuwKn96PxGLA+KuPJNIVirz3ba4/aN48aUz3CghkexRDv5VksrW7esB2L8Cpc&#10;THG8nVN/Fh99vwjYLi4WixiEqTTMr9Ta8AAd+hb6venemDUnUjz4fNbn4WTZB2762HDTmcXeg6FI&#10;XOhz31WwGBRMdOTztH1hZa71GPX+j5j/Bg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7D3eCDkCAABrBAAADgAAAAAAAAAAAAAA&#10;AAAuAgAAZHJzL2Uyb0RvYy54bWxQSwECLQAUAAYACAAAACEAeUQr7toAAAAFAQAADwAAAAAAAAAA&#10;AAAAAACTBAAAZHJzL2Rvd25yZXYueG1sUEsFBgAAAAAEAAQA8wAAAJoFAAAAAA==&#10;" filled="f" stroked="f" strokeweight=".5pt">
                    <v:textbox style="mso-fit-shape-to-text:t">
                      <w:txbxContent>
                        <w:sdt>
                          <w:sdtPr>
                            <w:rPr>
                              <w:b/>
                              <w:bCs/>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3F913DC0" w14:textId="0C96A733" w:rsidR="00E02032" w:rsidRPr="0070680D" w:rsidRDefault="00375AF9" w:rsidP="00E02032">
                              <w:pPr>
                                <w:spacing w:line="240" w:lineRule="auto"/>
                                <w:rPr>
                                  <w:rFonts w:asciiTheme="majorHAnsi" w:eastAsiaTheme="majorEastAsia" w:hAnsiTheme="majorHAnsi" w:cstheme="majorBidi"/>
                                  <w:noProof/>
                                  <w:color w:val="44546A" w:themeColor="text2"/>
                                  <w:sz w:val="32"/>
                                  <w:szCs w:val="40"/>
                                </w:rPr>
                              </w:pPr>
                              <w:r w:rsidRPr="00D16A06">
                                <w:rPr>
                                  <w:b/>
                                  <w:bCs/>
                                </w:rPr>
                                <w:t>Projet Capital Humain</w:t>
                              </w:r>
                              <w:r>
                                <w:rPr>
                                  <w:b/>
                                  <w:bCs/>
                                </w:rPr>
                                <w:t xml:space="preserve"> et Autonomisation des Filles</w:t>
                              </w:r>
                              <w:r w:rsidRPr="00D16A06">
                                <w:rPr>
                                  <w:b/>
                                  <w:bCs/>
                                </w:rPr>
                                <w:t xml:space="preserve">   « </w:t>
                              </w:r>
                              <w:r w:rsidR="00E048E1">
                                <w:rPr>
                                  <w:b/>
                                  <w:bCs/>
                                </w:rPr>
                                <w:t xml:space="preserve">Projet </w:t>
                              </w:r>
                              <w:r w:rsidRPr="00D16A06">
                                <w:rPr>
                                  <w:b/>
                                  <w:bCs/>
                                </w:rPr>
                                <w:t>Maïngo » P171158</w:t>
                              </w:r>
                            </w:p>
                          </w:sdtContent>
                        </w:sdt>
                        <w:p w14:paraId="41FAC870" w14:textId="77777777" w:rsidR="00E02032" w:rsidRPr="0070680D" w:rsidRDefault="00E02032" w:rsidP="00E02032">
                          <w:pPr>
                            <w:jc w:val="both"/>
                            <w:rPr>
                              <w:rFonts w:cstheme="minorHAnsi"/>
                              <w:b/>
                              <w:sz w:val="28"/>
                              <w:szCs w:val="28"/>
                            </w:rPr>
                          </w:pPr>
                          <w:r w:rsidRPr="0070680D">
                            <w:rPr>
                              <w:rFonts w:cstheme="minorHAnsi"/>
                              <w:b/>
                              <w:sz w:val="28"/>
                              <w:szCs w:val="28"/>
                            </w:rPr>
                            <w:t xml:space="preserve">République Centrafricaine </w:t>
                          </w:r>
                        </w:p>
                        <w:p w14:paraId="4CE85AC9" w14:textId="285CC086" w:rsidR="00E02032" w:rsidRPr="0070680D" w:rsidRDefault="005916A4" w:rsidP="00E02032">
                          <w:pPr>
                            <w:rPr>
                              <w:rFonts w:asciiTheme="majorHAnsi" w:eastAsiaTheme="majorEastAsia" w:hAnsiTheme="majorHAnsi" w:cstheme="majorBidi"/>
                              <w:noProof/>
                              <w:color w:val="44546A" w:themeColor="text2"/>
                              <w:sz w:val="24"/>
                              <w:szCs w:val="32"/>
                            </w:rPr>
                          </w:pPr>
                          <w:r>
                            <w:rPr>
                              <w:rFonts w:asciiTheme="majorHAnsi" w:eastAsiaTheme="majorEastAsia" w:hAnsiTheme="majorHAnsi" w:cstheme="majorBidi"/>
                              <w:noProof/>
                              <w:color w:val="44546A" w:themeColor="text2"/>
                              <w:sz w:val="24"/>
                              <w:szCs w:val="32"/>
                            </w:rPr>
                            <w:t>Mai</w:t>
                          </w:r>
                          <w:r w:rsidR="00E02032">
                            <w:rPr>
                              <w:rFonts w:asciiTheme="majorHAnsi" w:eastAsiaTheme="majorEastAsia" w:hAnsiTheme="majorHAnsi" w:cstheme="majorBidi"/>
                              <w:noProof/>
                              <w:color w:val="44546A" w:themeColor="text2"/>
                              <w:sz w:val="24"/>
                              <w:szCs w:val="32"/>
                            </w:rPr>
                            <w:t xml:space="preserve"> 2021</w:t>
                          </w:r>
                          <w:r w:rsidR="00BC37E0">
                            <w:rPr>
                              <w:rFonts w:asciiTheme="majorHAnsi" w:eastAsiaTheme="majorEastAsia" w:hAnsiTheme="majorHAnsi" w:cstheme="majorBidi"/>
                              <w:noProof/>
                              <w:color w:val="44546A" w:themeColor="text2"/>
                              <w:sz w:val="24"/>
                              <w:szCs w:val="32"/>
                            </w:rPr>
                            <w:t xml:space="preserve"> -v</w:t>
                          </w:r>
                          <w:r>
                            <w:rPr>
                              <w:rFonts w:asciiTheme="majorHAnsi" w:eastAsiaTheme="majorEastAsia" w:hAnsiTheme="majorHAnsi" w:cstheme="majorBidi"/>
                              <w:noProof/>
                              <w:color w:val="44546A" w:themeColor="text2"/>
                              <w:sz w:val="24"/>
                              <w:szCs w:val="32"/>
                            </w:rPr>
                            <w:t>ersion finale</w:t>
                          </w:r>
                          <w:r w:rsidR="00BC37E0">
                            <w:rPr>
                              <w:rFonts w:asciiTheme="majorHAnsi" w:eastAsiaTheme="majorEastAsia" w:hAnsiTheme="majorHAnsi" w:cstheme="majorBidi"/>
                              <w:noProof/>
                              <w:color w:val="44546A" w:themeColor="text2"/>
                              <w:sz w:val="24"/>
                              <w:szCs w:val="32"/>
                            </w:rPr>
                            <w:t xml:space="preserve"> </w:t>
                          </w:r>
                        </w:p>
                      </w:txbxContent>
                    </v:textbox>
                    <w10:wrap type="square" anchorx="page" anchory="page"/>
                  </v:shape>
                </w:pict>
              </mc:Fallback>
            </mc:AlternateContent>
          </w:r>
        </w:p>
      </w:sdtContent>
    </w:sdt>
    <w:p w14:paraId="5DE5243C" w14:textId="77777777" w:rsidR="00E02032" w:rsidRPr="00AB1CF4" w:rsidRDefault="00E02032" w:rsidP="00E02032">
      <w:pPr>
        <w:jc w:val="both"/>
        <w:rPr>
          <w:rFonts w:cstheme="minorHAnsi"/>
          <w:b/>
        </w:rPr>
      </w:pPr>
    </w:p>
    <w:p w14:paraId="3AAC070F" w14:textId="77777777" w:rsidR="00E02032" w:rsidRPr="00AB1CF4" w:rsidRDefault="00E02032" w:rsidP="00E02032">
      <w:pPr>
        <w:jc w:val="both"/>
        <w:rPr>
          <w:rFonts w:cstheme="minorHAnsi"/>
          <w:b/>
        </w:rPr>
      </w:pPr>
    </w:p>
    <w:p w14:paraId="7497AE8D" w14:textId="77777777" w:rsidR="00E02032" w:rsidRPr="00AB1CF4" w:rsidRDefault="00E02032" w:rsidP="00E02032">
      <w:pPr>
        <w:jc w:val="both"/>
        <w:rPr>
          <w:rFonts w:cstheme="minorHAnsi"/>
          <w:b/>
        </w:rPr>
      </w:pPr>
    </w:p>
    <w:p w14:paraId="7A104AD5" w14:textId="77777777" w:rsidR="00E02032" w:rsidRPr="00AB1CF4" w:rsidRDefault="00E02032" w:rsidP="00E02032">
      <w:pPr>
        <w:rPr>
          <w:rFonts w:cstheme="minorHAnsi"/>
          <w:b/>
        </w:rPr>
      </w:pPr>
      <w:r w:rsidRPr="00AB1CF4">
        <w:rPr>
          <w:rFonts w:cstheme="minorHAnsi"/>
          <w:b/>
        </w:rPr>
        <w:br w:type="page"/>
      </w:r>
    </w:p>
    <w:sdt>
      <w:sdtPr>
        <w:rPr>
          <w:rFonts w:asciiTheme="minorHAnsi" w:eastAsiaTheme="minorHAnsi" w:hAnsiTheme="minorHAnsi" w:cstheme="minorBidi"/>
          <w:color w:val="auto"/>
          <w:sz w:val="22"/>
          <w:szCs w:val="22"/>
          <w:lang w:eastAsia="en-US"/>
        </w:rPr>
        <w:id w:val="527074943"/>
        <w:docPartObj>
          <w:docPartGallery w:val="Table of Contents"/>
          <w:docPartUnique/>
        </w:docPartObj>
      </w:sdtPr>
      <w:sdtEndPr>
        <w:rPr>
          <w:b/>
          <w:bCs/>
          <w:noProof/>
        </w:rPr>
      </w:sdtEndPr>
      <w:sdtContent>
        <w:p w14:paraId="5E13D812" w14:textId="77777777" w:rsidR="00E02032" w:rsidRDefault="00E02032" w:rsidP="00E02032">
          <w:pPr>
            <w:pStyle w:val="TOCHeading"/>
          </w:pPr>
          <w:r>
            <w:t>Table of Contents</w:t>
          </w:r>
        </w:p>
        <w:p w14:paraId="356351FD" w14:textId="17A500AF" w:rsidR="00A0687A" w:rsidRDefault="00E02032">
          <w:pPr>
            <w:pStyle w:val="TOC1"/>
            <w:tabs>
              <w:tab w:val="right" w:leader="dot" w:pos="9062"/>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68269610" w:history="1">
            <w:r w:rsidR="00A0687A" w:rsidRPr="00963B8B">
              <w:rPr>
                <w:rStyle w:val="Hyperlink"/>
                <w:noProof/>
              </w:rPr>
              <w:t>LISTE DES ABREVIATIONS</w:t>
            </w:r>
            <w:r w:rsidR="00A0687A">
              <w:rPr>
                <w:noProof/>
                <w:webHidden/>
              </w:rPr>
              <w:tab/>
            </w:r>
            <w:r w:rsidR="00A0687A">
              <w:rPr>
                <w:noProof/>
                <w:webHidden/>
              </w:rPr>
              <w:fldChar w:fldCharType="begin"/>
            </w:r>
            <w:r w:rsidR="00A0687A">
              <w:rPr>
                <w:noProof/>
                <w:webHidden/>
              </w:rPr>
              <w:instrText xml:space="preserve"> PAGEREF _Toc68269610 \h </w:instrText>
            </w:r>
            <w:r w:rsidR="00A0687A">
              <w:rPr>
                <w:noProof/>
                <w:webHidden/>
              </w:rPr>
            </w:r>
            <w:r w:rsidR="00A0687A">
              <w:rPr>
                <w:noProof/>
                <w:webHidden/>
              </w:rPr>
              <w:fldChar w:fldCharType="separate"/>
            </w:r>
            <w:r w:rsidR="00A0687A">
              <w:rPr>
                <w:noProof/>
                <w:webHidden/>
              </w:rPr>
              <w:t>3</w:t>
            </w:r>
            <w:r w:rsidR="00A0687A">
              <w:rPr>
                <w:noProof/>
                <w:webHidden/>
              </w:rPr>
              <w:fldChar w:fldCharType="end"/>
            </w:r>
          </w:hyperlink>
        </w:p>
        <w:p w14:paraId="3E4D3014" w14:textId="414CCD80" w:rsidR="00A0687A" w:rsidRDefault="007444D7">
          <w:pPr>
            <w:pStyle w:val="TOC1"/>
            <w:tabs>
              <w:tab w:val="right" w:leader="dot" w:pos="9062"/>
            </w:tabs>
            <w:rPr>
              <w:rFonts w:eastAsiaTheme="minorEastAsia" w:cstheme="minorBidi"/>
              <w:b w:val="0"/>
              <w:bCs w:val="0"/>
              <w:caps w:val="0"/>
              <w:noProof/>
              <w:sz w:val="24"/>
              <w:szCs w:val="24"/>
              <w:u w:val="none"/>
            </w:rPr>
          </w:pPr>
          <w:hyperlink w:anchor="_Toc68269611" w:history="1">
            <w:r w:rsidR="00A0687A" w:rsidRPr="00963B8B">
              <w:rPr>
                <w:rStyle w:val="Hyperlink"/>
                <w:noProof/>
              </w:rPr>
              <w:t>INTRODUCTION</w:t>
            </w:r>
            <w:r w:rsidR="00A0687A">
              <w:rPr>
                <w:noProof/>
                <w:webHidden/>
              </w:rPr>
              <w:tab/>
            </w:r>
            <w:r w:rsidR="00A0687A">
              <w:rPr>
                <w:noProof/>
                <w:webHidden/>
              </w:rPr>
              <w:fldChar w:fldCharType="begin"/>
            </w:r>
            <w:r w:rsidR="00A0687A">
              <w:rPr>
                <w:noProof/>
                <w:webHidden/>
              </w:rPr>
              <w:instrText xml:space="preserve"> PAGEREF _Toc68269611 \h </w:instrText>
            </w:r>
            <w:r w:rsidR="00A0687A">
              <w:rPr>
                <w:noProof/>
                <w:webHidden/>
              </w:rPr>
            </w:r>
            <w:r w:rsidR="00A0687A">
              <w:rPr>
                <w:noProof/>
                <w:webHidden/>
              </w:rPr>
              <w:fldChar w:fldCharType="separate"/>
            </w:r>
            <w:r w:rsidR="00A0687A">
              <w:rPr>
                <w:noProof/>
                <w:webHidden/>
              </w:rPr>
              <w:t>4</w:t>
            </w:r>
            <w:r w:rsidR="00A0687A">
              <w:rPr>
                <w:noProof/>
                <w:webHidden/>
              </w:rPr>
              <w:fldChar w:fldCharType="end"/>
            </w:r>
          </w:hyperlink>
        </w:p>
        <w:p w14:paraId="323A3F97" w14:textId="6E110FDC" w:rsidR="00A0687A" w:rsidRDefault="007444D7">
          <w:pPr>
            <w:pStyle w:val="TOC1"/>
            <w:tabs>
              <w:tab w:val="right" w:leader="dot" w:pos="9062"/>
            </w:tabs>
            <w:rPr>
              <w:rFonts w:eastAsiaTheme="minorEastAsia" w:cstheme="minorBidi"/>
              <w:b w:val="0"/>
              <w:bCs w:val="0"/>
              <w:caps w:val="0"/>
              <w:noProof/>
              <w:sz w:val="24"/>
              <w:szCs w:val="24"/>
              <w:u w:val="none"/>
            </w:rPr>
          </w:pPr>
          <w:hyperlink w:anchor="_Toc68269612" w:history="1">
            <w:r w:rsidR="00A0687A" w:rsidRPr="00963B8B">
              <w:rPr>
                <w:rStyle w:val="Hyperlink"/>
                <w:noProof/>
              </w:rPr>
              <w:t>1. Éléments de contexte : défis politiques et humanitaires</w:t>
            </w:r>
            <w:r w:rsidR="00A0687A">
              <w:rPr>
                <w:noProof/>
                <w:webHidden/>
              </w:rPr>
              <w:tab/>
            </w:r>
            <w:r w:rsidR="00A0687A">
              <w:rPr>
                <w:noProof/>
                <w:webHidden/>
              </w:rPr>
              <w:fldChar w:fldCharType="begin"/>
            </w:r>
            <w:r w:rsidR="00A0687A">
              <w:rPr>
                <w:noProof/>
                <w:webHidden/>
              </w:rPr>
              <w:instrText xml:space="preserve"> PAGEREF _Toc68269612 \h </w:instrText>
            </w:r>
            <w:r w:rsidR="00A0687A">
              <w:rPr>
                <w:noProof/>
                <w:webHidden/>
              </w:rPr>
            </w:r>
            <w:r w:rsidR="00A0687A">
              <w:rPr>
                <w:noProof/>
                <w:webHidden/>
              </w:rPr>
              <w:fldChar w:fldCharType="separate"/>
            </w:r>
            <w:r w:rsidR="00A0687A">
              <w:rPr>
                <w:noProof/>
                <w:webHidden/>
              </w:rPr>
              <w:t>5</w:t>
            </w:r>
            <w:r w:rsidR="00A0687A">
              <w:rPr>
                <w:noProof/>
                <w:webHidden/>
              </w:rPr>
              <w:fldChar w:fldCharType="end"/>
            </w:r>
          </w:hyperlink>
        </w:p>
        <w:p w14:paraId="7FA652E7" w14:textId="0E0C0F99" w:rsidR="00A0687A" w:rsidRDefault="007444D7">
          <w:pPr>
            <w:pStyle w:val="TOC1"/>
            <w:tabs>
              <w:tab w:val="right" w:leader="dot" w:pos="9062"/>
            </w:tabs>
            <w:rPr>
              <w:rFonts w:eastAsiaTheme="minorEastAsia" w:cstheme="minorBidi"/>
              <w:b w:val="0"/>
              <w:bCs w:val="0"/>
              <w:caps w:val="0"/>
              <w:noProof/>
              <w:sz w:val="24"/>
              <w:szCs w:val="24"/>
              <w:u w:val="none"/>
            </w:rPr>
          </w:pPr>
          <w:hyperlink w:anchor="_Toc68269613" w:history="1">
            <w:r w:rsidR="00A0687A" w:rsidRPr="00963B8B">
              <w:rPr>
                <w:rStyle w:val="Hyperlink"/>
                <w:noProof/>
              </w:rPr>
              <w:t>2. Description des objectifs du Projet Capital Humain (Maïngo)</w:t>
            </w:r>
            <w:r w:rsidR="00A0687A">
              <w:rPr>
                <w:noProof/>
                <w:webHidden/>
              </w:rPr>
              <w:tab/>
            </w:r>
            <w:r w:rsidR="00A0687A">
              <w:rPr>
                <w:noProof/>
                <w:webHidden/>
              </w:rPr>
              <w:fldChar w:fldCharType="begin"/>
            </w:r>
            <w:r w:rsidR="00A0687A">
              <w:rPr>
                <w:noProof/>
                <w:webHidden/>
              </w:rPr>
              <w:instrText xml:space="preserve"> PAGEREF _Toc68269613 \h </w:instrText>
            </w:r>
            <w:r w:rsidR="00A0687A">
              <w:rPr>
                <w:noProof/>
                <w:webHidden/>
              </w:rPr>
            </w:r>
            <w:r w:rsidR="00A0687A">
              <w:rPr>
                <w:noProof/>
                <w:webHidden/>
              </w:rPr>
              <w:fldChar w:fldCharType="separate"/>
            </w:r>
            <w:r w:rsidR="00A0687A">
              <w:rPr>
                <w:noProof/>
                <w:webHidden/>
              </w:rPr>
              <w:t>6</w:t>
            </w:r>
            <w:r w:rsidR="00A0687A">
              <w:rPr>
                <w:noProof/>
                <w:webHidden/>
              </w:rPr>
              <w:fldChar w:fldCharType="end"/>
            </w:r>
          </w:hyperlink>
        </w:p>
        <w:p w14:paraId="2AC759F6" w14:textId="15CCC15C" w:rsidR="00A0687A" w:rsidRDefault="007444D7">
          <w:pPr>
            <w:pStyle w:val="TOC1"/>
            <w:tabs>
              <w:tab w:val="right" w:leader="dot" w:pos="9062"/>
            </w:tabs>
            <w:rPr>
              <w:rFonts w:eastAsiaTheme="minorEastAsia" w:cstheme="minorBidi"/>
              <w:b w:val="0"/>
              <w:bCs w:val="0"/>
              <w:caps w:val="0"/>
              <w:noProof/>
              <w:sz w:val="24"/>
              <w:szCs w:val="24"/>
              <w:u w:val="none"/>
            </w:rPr>
          </w:pPr>
          <w:hyperlink w:anchor="_Toc68269614" w:history="1">
            <w:r w:rsidR="00A0687A" w:rsidRPr="00963B8B">
              <w:rPr>
                <w:rStyle w:val="Hyperlink"/>
                <w:noProof/>
              </w:rPr>
              <w:t>3. Objectifs de l’Évaluation des risques VBG, EAS/HS du projet</w:t>
            </w:r>
            <w:r w:rsidR="00A0687A">
              <w:rPr>
                <w:noProof/>
                <w:webHidden/>
              </w:rPr>
              <w:tab/>
            </w:r>
            <w:r w:rsidR="00A0687A">
              <w:rPr>
                <w:noProof/>
                <w:webHidden/>
              </w:rPr>
              <w:fldChar w:fldCharType="begin"/>
            </w:r>
            <w:r w:rsidR="00A0687A">
              <w:rPr>
                <w:noProof/>
                <w:webHidden/>
              </w:rPr>
              <w:instrText xml:space="preserve"> PAGEREF _Toc68269614 \h </w:instrText>
            </w:r>
            <w:r w:rsidR="00A0687A">
              <w:rPr>
                <w:noProof/>
                <w:webHidden/>
              </w:rPr>
            </w:r>
            <w:r w:rsidR="00A0687A">
              <w:rPr>
                <w:noProof/>
                <w:webHidden/>
              </w:rPr>
              <w:fldChar w:fldCharType="separate"/>
            </w:r>
            <w:r w:rsidR="00A0687A">
              <w:rPr>
                <w:noProof/>
                <w:webHidden/>
              </w:rPr>
              <w:t>7</w:t>
            </w:r>
            <w:r w:rsidR="00A0687A">
              <w:rPr>
                <w:noProof/>
                <w:webHidden/>
              </w:rPr>
              <w:fldChar w:fldCharType="end"/>
            </w:r>
          </w:hyperlink>
        </w:p>
        <w:p w14:paraId="3CD2F787" w14:textId="60CD61BF" w:rsidR="00A0687A" w:rsidRDefault="007444D7">
          <w:pPr>
            <w:pStyle w:val="TOC1"/>
            <w:tabs>
              <w:tab w:val="right" w:leader="dot" w:pos="9062"/>
            </w:tabs>
            <w:rPr>
              <w:rFonts w:eastAsiaTheme="minorEastAsia" w:cstheme="minorBidi"/>
              <w:b w:val="0"/>
              <w:bCs w:val="0"/>
              <w:caps w:val="0"/>
              <w:noProof/>
              <w:sz w:val="24"/>
              <w:szCs w:val="24"/>
              <w:u w:val="none"/>
            </w:rPr>
          </w:pPr>
          <w:hyperlink w:anchor="_Toc68269615" w:history="1">
            <w:r w:rsidR="00A0687A" w:rsidRPr="00963B8B">
              <w:rPr>
                <w:rStyle w:val="Hyperlink"/>
                <w:noProof/>
              </w:rPr>
              <w:t>4. Prévalence et tendances des VBG en République centrafricaine</w:t>
            </w:r>
            <w:r w:rsidR="00A0687A">
              <w:rPr>
                <w:noProof/>
                <w:webHidden/>
              </w:rPr>
              <w:tab/>
            </w:r>
            <w:r w:rsidR="00A0687A">
              <w:rPr>
                <w:noProof/>
                <w:webHidden/>
              </w:rPr>
              <w:fldChar w:fldCharType="begin"/>
            </w:r>
            <w:r w:rsidR="00A0687A">
              <w:rPr>
                <w:noProof/>
                <w:webHidden/>
              </w:rPr>
              <w:instrText xml:space="preserve"> PAGEREF _Toc68269615 \h </w:instrText>
            </w:r>
            <w:r w:rsidR="00A0687A">
              <w:rPr>
                <w:noProof/>
                <w:webHidden/>
              </w:rPr>
            </w:r>
            <w:r w:rsidR="00A0687A">
              <w:rPr>
                <w:noProof/>
                <w:webHidden/>
              </w:rPr>
              <w:fldChar w:fldCharType="separate"/>
            </w:r>
            <w:r w:rsidR="00A0687A">
              <w:rPr>
                <w:noProof/>
                <w:webHidden/>
              </w:rPr>
              <w:t>8</w:t>
            </w:r>
            <w:r w:rsidR="00A0687A">
              <w:rPr>
                <w:noProof/>
                <w:webHidden/>
              </w:rPr>
              <w:fldChar w:fldCharType="end"/>
            </w:r>
          </w:hyperlink>
        </w:p>
        <w:p w14:paraId="046EC2A0" w14:textId="4E70F574" w:rsidR="00A0687A" w:rsidRDefault="007444D7">
          <w:pPr>
            <w:pStyle w:val="TOC3"/>
            <w:tabs>
              <w:tab w:val="right" w:leader="dot" w:pos="9062"/>
            </w:tabs>
            <w:rPr>
              <w:rFonts w:eastAsiaTheme="minorEastAsia" w:cstheme="minorBidi"/>
              <w:smallCaps w:val="0"/>
              <w:noProof/>
              <w:sz w:val="24"/>
              <w:szCs w:val="24"/>
            </w:rPr>
          </w:pPr>
          <w:hyperlink w:anchor="_Toc68269616" w:history="1">
            <w:r w:rsidR="00A0687A" w:rsidRPr="00963B8B">
              <w:rPr>
                <w:rStyle w:val="Hyperlink"/>
                <w:noProof/>
              </w:rPr>
              <w:t>4.1 Statistiques et données générales sur les VBG</w:t>
            </w:r>
            <w:r w:rsidR="00A0687A">
              <w:rPr>
                <w:noProof/>
                <w:webHidden/>
              </w:rPr>
              <w:tab/>
            </w:r>
            <w:r w:rsidR="00A0687A">
              <w:rPr>
                <w:noProof/>
                <w:webHidden/>
              </w:rPr>
              <w:fldChar w:fldCharType="begin"/>
            </w:r>
            <w:r w:rsidR="00A0687A">
              <w:rPr>
                <w:noProof/>
                <w:webHidden/>
              </w:rPr>
              <w:instrText xml:space="preserve"> PAGEREF _Toc68269616 \h </w:instrText>
            </w:r>
            <w:r w:rsidR="00A0687A">
              <w:rPr>
                <w:noProof/>
                <w:webHidden/>
              </w:rPr>
            </w:r>
            <w:r w:rsidR="00A0687A">
              <w:rPr>
                <w:noProof/>
                <w:webHidden/>
              </w:rPr>
              <w:fldChar w:fldCharType="separate"/>
            </w:r>
            <w:r w:rsidR="00A0687A">
              <w:rPr>
                <w:noProof/>
                <w:webHidden/>
              </w:rPr>
              <w:t>8</w:t>
            </w:r>
            <w:r w:rsidR="00A0687A">
              <w:rPr>
                <w:noProof/>
                <w:webHidden/>
              </w:rPr>
              <w:fldChar w:fldCharType="end"/>
            </w:r>
          </w:hyperlink>
        </w:p>
        <w:p w14:paraId="282D19AA" w14:textId="05C4D40E" w:rsidR="00A0687A" w:rsidRDefault="007444D7">
          <w:pPr>
            <w:pStyle w:val="TOC3"/>
            <w:tabs>
              <w:tab w:val="right" w:leader="dot" w:pos="9062"/>
            </w:tabs>
            <w:rPr>
              <w:rFonts w:eastAsiaTheme="minorEastAsia" w:cstheme="minorBidi"/>
              <w:smallCaps w:val="0"/>
              <w:noProof/>
              <w:sz w:val="24"/>
              <w:szCs w:val="24"/>
            </w:rPr>
          </w:pPr>
          <w:hyperlink w:anchor="_Toc68269617" w:history="1">
            <w:r w:rsidR="00A0687A" w:rsidRPr="00963B8B">
              <w:rPr>
                <w:rStyle w:val="Hyperlink"/>
                <w:noProof/>
              </w:rPr>
              <w:t>4.3 Exploitation et atteintes sexuelles</w:t>
            </w:r>
            <w:r w:rsidR="00A0687A">
              <w:rPr>
                <w:noProof/>
                <w:webHidden/>
              </w:rPr>
              <w:tab/>
            </w:r>
            <w:r w:rsidR="00A0687A">
              <w:rPr>
                <w:noProof/>
                <w:webHidden/>
              </w:rPr>
              <w:fldChar w:fldCharType="begin"/>
            </w:r>
            <w:r w:rsidR="00A0687A">
              <w:rPr>
                <w:noProof/>
                <w:webHidden/>
              </w:rPr>
              <w:instrText xml:space="preserve"> PAGEREF _Toc68269617 \h </w:instrText>
            </w:r>
            <w:r w:rsidR="00A0687A">
              <w:rPr>
                <w:noProof/>
                <w:webHidden/>
              </w:rPr>
            </w:r>
            <w:r w:rsidR="00A0687A">
              <w:rPr>
                <w:noProof/>
                <w:webHidden/>
              </w:rPr>
              <w:fldChar w:fldCharType="separate"/>
            </w:r>
            <w:r w:rsidR="00A0687A">
              <w:rPr>
                <w:noProof/>
                <w:webHidden/>
              </w:rPr>
              <w:t>11</w:t>
            </w:r>
            <w:r w:rsidR="00A0687A">
              <w:rPr>
                <w:noProof/>
                <w:webHidden/>
              </w:rPr>
              <w:fldChar w:fldCharType="end"/>
            </w:r>
          </w:hyperlink>
        </w:p>
        <w:p w14:paraId="653E68AB" w14:textId="4B27FDE8" w:rsidR="00A0687A" w:rsidRDefault="007444D7">
          <w:pPr>
            <w:pStyle w:val="TOC3"/>
            <w:tabs>
              <w:tab w:val="right" w:leader="dot" w:pos="9062"/>
            </w:tabs>
            <w:rPr>
              <w:rFonts w:eastAsiaTheme="minorEastAsia" w:cstheme="minorBidi"/>
              <w:smallCaps w:val="0"/>
              <w:noProof/>
              <w:sz w:val="24"/>
              <w:szCs w:val="24"/>
            </w:rPr>
          </w:pPr>
          <w:hyperlink w:anchor="_Toc68269618" w:history="1">
            <w:r w:rsidR="00A0687A" w:rsidRPr="00963B8B">
              <w:rPr>
                <w:rStyle w:val="Hyperlink"/>
                <w:noProof/>
              </w:rPr>
              <w:t>4.4 Augmentation des VBG dans le contexte de la pandémie du Covid-19</w:t>
            </w:r>
            <w:r w:rsidR="00A0687A">
              <w:rPr>
                <w:noProof/>
                <w:webHidden/>
              </w:rPr>
              <w:tab/>
            </w:r>
            <w:r w:rsidR="00A0687A">
              <w:rPr>
                <w:noProof/>
                <w:webHidden/>
              </w:rPr>
              <w:fldChar w:fldCharType="begin"/>
            </w:r>
            <w:r w:rsidR="00A0687A">
              <w:rPr>
                <w:noProof/>
                <w:webHidden/>
              </w:rPr>
              <w:instrText xml:space="preserve"> PAGEREF _Toc68269618 \h </w:instrText>
            </w:r>
            <w:r w:rsidR="00A0687A">
              <w:rPr>
                <w:noProof/>
                <w:webHidden/>
              </w:rPr>
            </w:r>
            <w:r w:rsidR="00A0687A">
              <w:rPr>
                <w:noProof/>
                <w:webHidden/>
              </w:rPr>
              <w:fldChar w:fldCharType="separate"/>
            </w:r>
            <w:r w:rsidR="00A0687A">
              <w:rPr>
                <w:noProof/>
                <w:webHidden/>
              </w:rPr>
              <w:t>11</w:t>
            </w:r>
            <w:r w:rsidR="00A0687A">
              <w:rPr>
                <w:noProof/>
                <w:webHidden/>
              </w:rPr>
              <w:fldChar w:fldCharType="end"/>
            </w:r>
          </w:hyperlink>
        </w:p>
        <w:p w14:paraId="26426720" w14:textId="4849F39C" w:rsidR="00A0687A" w:rsidRDefault="007444D7">
          <w:pPr>
            <w:pStyle w:val="TOC1"/>
            <w:tabs>
              <w:tab w:val="right" w:leader="dot" w:pos="9062"/>
            </w:tabs>
            <w:rPr>
              <w:rFonts w:eastAsiaTheme="minorEastAsia" w:cstheme="minorBidi"/>
              <w:b w:val="0"/>
              <w:bCs w:val="0"/>
              <w:caps w:val="0"/>
              <w:noProof/>
              <w:sz w:val="24"/>
              <w:szCs w:val="24"/>
              <w:u w:val="none"/>
            </w:rPr>
          </w:pPr>
          <w:hyperlink w:anchor="_Toc68269619" w:history="1">
            <w:r w:rsidR="00A0687A" w:rsidRPr="00963B8B">
              <w:rPr>
                <w:rStyle w:val="Hyperlink"/>
                <w:noProof/>
              </w:rPr>
              <w:t>5. Risques d’EAS et HS du projet Maïngo et recommandations pour atténuer les risques</w:t>
            </w:r>
            <w:r w:rsidR="00A0687A">
              <w:rPr>
                <w:noProof/>
                <w:webHidden/>
              </w:rPr>
              <w:tab/>
            </w:r>
            <w:r w:rsidR="00A0687A">
              <w:rPr>
                <w:noProof/>
                <w:webHidden/>
              </w:rPr>
              <w:fldChar w:fldCharType="begin"/>
            </w:r>
            <w:r w:rsidR="00A0687A">
              <w:rPr>
                <w:noProof/>
                <w:webHidden/>
              </w:rPr>
              <w:instrText xml:space="preserve"> PAGEREF _Toc68269619 \h </w:instrText>
            </w:r>
            <w:r w:rsidR="00A0687A">
              <w:rPr>
                <w:noProof/>
                <w:webHidden/>
              </w:rPr>
            </w:r>
            <w:r w:rsidR="00A0687A">
              <w:rPr>
                <w:noProof/>
                <w:webHidden/>
              </w:rPr>
              <w:fldChar w:fldCharType="separate"/>
            </w:r>
            <w:r w:rsidR="00A0687A">
              <w:rPr>
                <w:noProof/>
                <w:webHidden/>
              </w:rPr>
              <w:t>12</w:t>
            </w:r>
            <w:r w:rsidR="00A0687A">
              <w:rPr>
                <w:noProof/>
                <w:webHidden/>
              </w:rPr>
              <w:fldChar w:fldCharType="end"/>
            </w:r>
          </w:hyperlink>
        </w:p>
        <w:p w14:paraId="5C7B0BE4" w14:textId="2A47C430" w:rsidR="00A0687A" w:rsidRDefault="007444D7">
          <w:pPr>
            <w:pStyle w:val="TOC3"/>
            <w:tabs>
              <w:tab w:val="right" w:leader="dot" w:pos="9062"/>
            </w:tabs>
            <w:rPr>
              <w:rFonts w:eastAsiaTheme="minorEastAsia" w:cstheme="minorBidi"/>
              <w:smallCaps w:val="0"/>
              <w:noProof/>
              <w:sz w:val="24"/>
              <w:szCs w:val="24"/>
            </w:rPr>
          </w:pPr>
          <w:hyperlink w:anchor="_Toc68269620" w:history="1">
            <w:r w:rsidR="00A0687A" w:rsidRPr="00963B8B">
              <w:rPr>
                <w:rStyle w:val="Hyperlink"/>
                <w:noProof/>
              </w:rPr>
              <w:t>5.1 Consultations communautaires révélant un risque élevé de VBG</w:t>
            </w:r>
            <w:r w:rsidR="00A0687A">
              <w:rPr>
                <w:noProof/>
                <w:webHidden/>
              </w:rPr>
              <w:tab/>
            </w:r>
            <w:r w:rsidR="00A0687A">
              <w:rPr>
                <w:noProof/>
                <w:webHidden/>
              </w:rPr>
              <w:fldChar w:fldCharType="begin"/>
            </w:r>
            <w:r w:rsidR="00A0687A">
              <w:rPr>
                <w:noProof/>
                <w:webHidden/>
              </w:rPr>
              <w:instrText xml:space="preserve"> PAGEREF _Toc68269620 \h </w:instrText>
            </w:r>
            <w:r w:rsidR="00A0687A">
              <w:rPr>
                <w:noProof/>
                <w:webHidden/>
              </w:rPr>
            </w:r>
            <w:r w:rsidR="00A0687A">
              <w:rPr>
                <w:noProof/>
                <w:webHidden/>
              </w:rPr>
              <w:fldChar w:fldCharType="separate"/>
            </w:r>
            <w:r w:rsidR="00A0687A">
              <w:rPr>
                <w:noProof/>
                <w:webHidden/>
              </w:rPr>
              <w:t>13</w:t>
            </w:r>
            <w:r w:rsidR="00A0687A">
              <w:rPr>
                <w:noProof/>
                <w:webHidden/>
              </w:rPr>
              <w:fldChar w:fldCharType="end"/>
            </w:r>
          </w:hyperlink>
        </w:p>
        <w:p w14:paraId="77841ECA" w14:textId="2D8EEA21" w:rsidR="00A0687A" w:rsidRDefault="007444D7">
          <w:pPr>
            <w:pStyle w:val="TOC3"/>
            <w:tabs>
              <w:tab w:val="right" w:leader="dot" w:pos="9062"/>
            </w:tabs>
            <w:rPr>
              <w:rFonts w:eastAsiaTheme="minorEastAsia" w:cstheme="minorBidi"/>
              <w:smallCaps w:val="0"/>
              <w:noProof/>
              <w:sz w:val="24"/>
              <w:szCs w:val="24"/>
            </w:rPr>
          </w:pPr>
          <w:hyperlink w:anchor="_Toc68269621" w:history="1">
            <w:r w:rsidR="00A0687A" w:rsidRPr="00963B8B">
              <w:rPr>
                <w:rStyle w:val="Hyperlink"/>
                <w:noProof/>
              </w:rPr>
              <w:t>5.2 Risques de VBG, EAS et HS des activités envisagées dans les « espaces sûrs » (Composante 1)</w:t>
            </w:r>
            <w:r w:rsidR="00A0687A">
              <w:rPr>
                <w:noProof/>
                <w:webHidden/>
              </w:rPr>
              <w:tab/>
            </w:r>
            <w:r w:rsidR="00A0687A">
              <w:rPr>
                <w:noProof/>
                <w:webHidden/>
              </w:rPr>
              <w:fldChar w:fldCharType="begin"/>
            </w:r>
            <w:r w:rsidR="00A0687A">
              <w:rPr>
                <w:noProof/>
                <w:webHidden/>
              </w:rPr>
              <w:instrText xml:space="preserve"> PAGEREF _Toc68269621 \h </w:instrText>
            </w:r>
            <w:r w:rsidR="00A0687A">
              <w:rPr>
                <w:noProof/>
                <w:webHidden/>
              </w:rPr>
            </w:r>
            <w:r w:rsidR="00A0687A">
              <w:rPr>
                <w:noProof/>
                <w:webHidden/>
              </w:rPr>
              <w:fldChar w:fldCharType="separate"/>
            </w:r>
            <w:r w:rsidR="00A0687A">
              <w:rPr>
                <w:noProof/>
                <w:webHidden/>
              </w:rPr>
              <w:t>14</w:t>
            </w:r>
            <w:r w:rsidR="00A0687A">
              <w:rPr>
                <w:noProof/>
                <w:webHidden/>
              </w:rPr>
              <w:fldChar w:fldCharType="end"/>
            </w:r>
          </w:hyperlink>
        </w:p>
        <w:p w14:paraId="229E19FB" w14:textId="4A844715" w:rsidR="00A0687A" w:rsidRDefault="007444D7">
          <w:pPr>
            <w:pStyle w:val="TOC3"/>
            <w:tabs>
              <w:tab w:val="right" w:leader="dot" w:pos="9062"/>
            </w:tabs>
            <w:rPr>
              <w:rFonts w:eastAsiaTheme="minorEastAsia" w:cstheme="minorBidi"/>
              <w:smallCaps w:val="0"/>
              <w:noProof/>
              <w:sz w:val="24"/>
              <w:szCs w:val="24"/>
            </w:rPr>
          </w:pPr>
          <w:hyperlink w:anchor="_Toc68269622" w:history="1">
            <w:r w:rsidR="00A0687A" w:rsidRPr="00963B8B">
              <w:rPr>
                <w:rStyle w:val="Hyperlink"/>
                <w:noProof/>
              </w:rPr>
              <w:t>5.3 Risques de VBG, EAS et HS en lien aux activités dans le secteur de la Santé  (Composante 2.1)</w:t>
            </w:r>
            <w:r w:rsidR="00A0687A">
              <w:rPr>
                <w:noProof/>
                <w:webHidden/>
              </w:rPr>
              <w:tab/>
            </w:r>
            <w:r w:rsidR="00A0687A">
              <w:rPr>
                <w:noProof/>
                <w:webHidden/>
              </w:rPr>
              <w:fldChar w:fldCharType="begin"/>
            </w:r>
            <w:r w:rsidR="00A0687A">
              <w:rPr>
                <w:noProof/>
                <w:webHidden/>
              </w:rPr>
              <w:instrText xml:space="preserve"> PAGEREF _Toc68269622 \h </w:instrText>
            </w:r>
            <w:r w:rsidR="00A0687A">
              <w:rPr>
                <w:noProof/>
                <w:webHidden/>
              </w:rPr>
            </w:r>
            <w:r w:rsidR="00A0687A">
              <w:rPr>
                <w:noProof/>
                <w:webHidden/>
              </w:rPr>
              <w:fldChar w:fldCharType="separate"/>
            </w:r>
            <w:r w:rsidR="00A0687A">
              <w:rPr>
                <w:noProof/>
                <w:webHidden/>
              </w:rPr>
              <w:t>16</w:t>
            </w:r>
            <w:r w:rsidR="00A0687A">
              <w:rPr>
                <w:noProof/>
                <w:webHidden/>
              </w:rPr>
              <w:fldChar w:fldCharType="end"/>
            </w:r>
          </w:hyperlink>
        </w:p>
        <w:p w14:paraId="2657698F" w14:textId="34D3BB0E" w:rsidR="00A0687A" w:rsidRDefault="007444D7">
          <w:pPr>
            <w:pStyle w:val="TOC3"/>
            <w:tabs>
              <w:tab w:val="right" w:leader="dot" w:pos="9062"/>
            </w:tabs>
            <w:rPr>
              <w:rFonts w:eastAsiaTheme="minorEastAsia" w:cstheme="minorBidi"/>
              <w:smallCaps w:val="0"/>
              <w:noProof/>
              <w:sz w:val="24"/>
              <w:szCs w:val="24"/>
            </w:rPr>
          </w:pPr>
          <w:hyperlink w:anchor="_Toc68269623" w:history="1">
            <w:r w:rsidR="00A0687A" w:rsidRPr="00963B8B">
              <w:rPr>
                <w:rStyle w:val="Hyperlink"/>
                <w:noProof/>
              </w:rPr>
              <w:t>5.4 Risques directs et indirects en lien aux activités dans le secteur de l’éducation et du renforcement des opportunités d’apprentissage (Composante 2.2 &amp; 2.3)</w:t>
            </w:r>
            <w:r w:rsidR="00A0687A">
              <w:rPr>
                <w:noProof/>
                <w:webHidden/>
              </w:rPr>
              <w:tab/>
            </w:r>
            <w:r w:rsidR="00A0687A">
              <w:rPr>
                <w:noProof/>
                <w:webHidden/>
              </w:rPr>
              <w:fldChar w:fldCharType="begin"/>
            </w:r>
            <w:r w:rsidR="00A0687A">
              <w:rPr>
                <w:noProof/>
                <w:webHidden/>
              </w:rPr>
              <w:instrText xml:space="preserve"> PAGEREF _Toc68269623 \h </w:instrText>
            </w:r>
            <w:r w:rsidR="00A0687A">
              <w:rPr>
                <w:noProof/>
                <w:webHidden/>
              </w:rPr>
            </w:r>
            <w:r w:rsidR="00A0687A">
              <w:rPr>
                <w:noProof/>
                <w:webHidden/>
              </w:rPr>
              <w:fldChar w:fldCharType="separate"/>
            </w:r>
            <w:r w:rsidR="00A0687A">
              <w:rPr>
                <w:noProof/>
                <w:webHidden/>
              </w:rPr>
              <w:t>19</w:t>
            </w:r>
            <w:r w:rsidR="00A0687A">
              <w:rPr>
                <w:noProof/>
                <w:webHidden/>
              </w:rPr>
              <w:fldChar w:fldCharType="end"/>
            </w:r>
          </w:hyperlink>
        </w:p>
        <w:p w14:paraId="02794F58" w14:textId="6C520F42" w:rsidR="00A0687A" w:rsidRDefault="007444D7">
          <w:pPr>
            <w:pStyle w:val="TOC1"/>
            <w:tabs>
              <w:tab w:val="right" w:leader="dot" w:pos="9062"/>
            </w:tabs>
            <w:rPr>
              <w:rFonts w:eastAsiaTheme="minorEastAsia" w:cstheme="minorBidi"/>
              <w:b w:val="0"/>
              <w:bCs w:val="0"/>
              <w:caps w:val="0"/>
              <w:noProof/>
              <w:sz w:val="24"/>
              <w:szCs w:val="24"/>
              <w:u w:val="none"/>
            </w:rPr>
          </w:pPr>
          <w:hyperlink w:anchor="_Toc68269624" w:history="1">
            <w:r w:rsidR="00A0687A" w:rsidRPr="00963B8B">
              <w:rPr>
                <w:rStyle w:val="Hyperlink"/>
                <w:noProof/>
              </w:rPr>
              <w:t>6.  Brève présentation des services existants et des principales lacunes en matière de prévention et réponse aux VBG, EAS et HS</w:t>
            </w:r>
            <w:r w:rsidR="00A0687A">
              <w:rPr>
                <w:noProof/>
                <w:webHidden/>
              </w:rPr>
              <w:tab/>
            </w:r>
            <w:r w:rsidR="00A0687A">
              <w:rPr>
                <w:noProof/>
                <w:webHidden/>
              </w:rPr>
              <w:fldChar w:fldCharType="begin"/>
            </w:r>
            <w:r w:rsidR="00A0687A">
              <w:rPr>
                <w:noProof/>
                <w:webHidden/>
              </w:rPr>
              <w:instrText xml:space="preserve"> PAGEREF _Toc68269624 \h </w:instrText>
            </w:r>
            <w:r w:rsidR="00A0687A">
              <w:rPr>
                <w:noProof/>
                <w:webHidden/>
              </w:rPr>
            </w:r>
            <w:r w:rsidR="00A0687A">
              <w:rPr>
                <w:noProof/>
                <w:webHidden/>
              </w:rPr>
              <w:fldChar w:fldCharType="separate"/>
            </w:r>
            <w:r w:rsidR="00A0687A">
              <w:rPr>
                <w:noProof/>
                <w:webHidden/>
              </w:rPr>
              <w:t>22</w:t>
            </w:r>
            <w:r w:rsidR="00A0687A">
              <w:rPr>
                <w:noProof/>
                <w:webHidden/>
              </w:rPr>
              <w:fldChar w:fldCharType="end"/>
            </w:r>
          </w:hyperlink>
        </w:p>
        <w:p w14:paraId="02E5A5E2" w14:textId="0F7996BE" w:rsidR="00A0687A" w:rsidRDefault="007444D7">
          <w:pPr>
            <w:pStyle w:val="TOC1"/>
            <w:tabs>
              <w:tab w:val="right" w:leader="dot" w:pos="9062"/>
            </w:tabs>
            <w:rPr>
              <w:rFonts w:eastAsiaTheme="minorEastAsia" w:cstheme="minorBidi"/>
              <w:b w:val="0"/>
              <w:bCs w:val="0"/>
              <w:caps w:val="0"/>
              <w:noProof/>
              <w:sz w:val="24"/>
              <w:szCs w:val="24"/>
              <w:u w:val="none"/>
            </w:rPr>
          </w:pPr>
          <w:hyperlink w:anchor="_Toc68269625" w:history="1">
            <w:r w:rsidR="00A0687A" w:rsidRPr="00963B8B">
              <w:rPr>
                <w:rStyle w:val="Hyperlink"/>
                <w:noProof/>
              </w:rPr>
              <w:t>7. Plan d’Action pour l’atténuation des risques de VBG, EAS et HS</w:t>
            </w:r>
            <w:r w:rsidR="00A0687A">
              <w:rPr>
                <w:noProof/>
                <w:webHidden/>
              </w:rPr>
              <w:tab/>
            </w:r>
            <w:r w:rsidR="00A0687A">
              <w:rPr>
                <w:noProof/>
                <w:webHidden/>
              </w:rPr>
              <w:fldChar w:fldCharType="begin"/>
            </w:r>
            <w:r w:rsidR="00A0687A">
              <w:rPr>
                <w:noProof/>
                <w:webHidden/>
              </w:rPr>
              <w:instrText xml:space="preserve"> PAGEREF _Toc68269625 \h </w:instrText>
            </w:r>
            <w:r w:rsidR="00A0687A">
              <w:rPr>
                <w:noProof/>
                <w:webHidden/>
              </w:rPr>
            </w:r>
            <w:r w:rsidR="00A0687A">
              <w:rPr>
                <w:noProof/>
                <w:webHidden/>
              </w:rPr>
              <w:fldChar w:fldCharType="separate"/>
            </w:r>
            <w:r w:rsidR="00A0687A">
              <w:rPr>
                <w:noProof/>
                <w:webHidden/>
              </w:rPr>
              <w:t>22</w:t>
            </w:r>
            <w:r w:rsidR="00A0687A">
              <w:rPr>
                <w:noProof/>
                <w:webHidden/>
              </w:rPr>
              <w:fldChar w:fldCharType="end"/>
            </w:r>
          </w:hyperlink>
        </w:p>
        <w:p w14:paraId="3F198A73" w14:textId="0B6EBCEC" w:rsidR="00A0687A" w:rsidRDefault="007444D7">
          <w:pPr>
            <w:pStyle w:val="TOC1"/>
            <w:tabs>
              <w:tab w:val="right" w:leader="dot" w:pos="9062"/>
            </w:tabs>
            <w:rPr>
              <w:rFonts w:eastAsiaTheme="minorEastAsia" w:cstheme="minorBidi"/>
              <w:b w:val="0"/>
              <w:bCs w:val="0"/>
              <w:caps w:val="0"/>
              <w:noProof/>
              <w:sz w:val="24"/>
              <w:szCs w:val="24"/>
              <w:u w:val="none"/>
            </w:rPr>
          </w:pPr>
          <w:hyperlink w:anchor="_Toc68269626" w:history="1">
            <w:r w:rsidR="00A0687A" w:rsidRPr="00963B8B">
              <w:rPr>
                <w:rStyle w:val="Hyperlink"/>
                <w:noProof/>
              </w:rPr>
              <w:t>ANNEXES</w:t>
            </w:r>
            <w:r w:rsidR="00A0687A">
              <w:rPr>
                <w:noProof/>
                <w:webHidden/>
              </w:rPr>
              <w:tab/>
            </w:r>
            <w:r w:rsidR="00A0687A">
              <w:rPr>
                <w:noProof/>
                <w:webHidden/>
              </w:rPr>
              <w:fldChar w:fldCharType="begin"/>
            </w:r>
            <w:r w:rsidR="00A0687A">
              <w:rPr>
                <w:noProof/>
                <w:webHidden/>
              </w:rPr>
              <w:instrText xml:space="preserve"> PAGEREF _Toc68269626 \h </w:instrText>
            </w:r>
            <w:r w:rsidR="00A0687A">
              <w:rPr>
                <w:noProof/>
                <w:webHidden/>
              </w:rPr>
            </w:r>
            <w:r w:rsidR="00A0687A">
              <w:rPr>
                <w:noProof/>
                <w:webHidden/>
              </w:rPr>
              <w:fldChar w:fldCharType="separate"/>
            </w:r>
            <w:r w:rsidR="00A0687A">
              <w:rPr>
                <w:noProof/>
                <w:webHidden/>
              </w:rPr>
              <w:t>25</w:t>
            </w:r>
            <w:r w:rsidR="00A0687A">
              <w:rPr>
                <w:noProof/>
                <w:webHidden/>
              </w:rPr>
              <w:fldChar w:fldCharType="end"/>
            </w:r>
          </w:hyperlink>
        </w:p>
        <w:p w14:paraId="51E122DB" w14:textId="1B3498AD" w:rsidR="00A0687A" w:rsidRDefault="007444D7">
          <w:pPr>
            <w:pStyle w:val="TOC3"/>
            <w:tabs>
              <w:tab w:val="right" w:leader="dot" w:pos="9062"/>
            </w:tabs>
            <w:rPr>
              <w:rFonts w:eastAsiaTheme="minorEastAsia" w:cstheme="minorBidi"/>
              <w:smallCaps w:val="0"/>
              <w:noProof/>
              <w:sz w:val="24"/>
              <w:szCs w:val="24"/>
            </w:rPr>
          </w:pPr>
          <w:hyperlink w:anchor="_Toc68269627" w:history="1">
            <w:r w:rsidR="00A0687A" w:rsidRPr="00963B8B">
              <w:rPr>
                <w:rStyle w:val="Hyperlink"/>
                <w:noProof/>
              </w:rPr>
              <w:t xml:space="preserve">Annexe 1 : Définitions et terminologie </w:t>
            </w:r>
            <w:r w:rsidR="00A0687A">
              <w:rPr>
                <w:noProof/>
                <w:webHidden/>
              </w:rPr>
              <w:tab/>
            </w:r>
            <w:r w:rsidR="00A0687A">
              <w:rPr>
                <w:noProof/>
                <w:webHidden/>
              </w:rPr>
              <w:fldChar w:fldCharType="begin"/>
            </w:r>
            <w:r w:rsidR="00A0687A">
              <w:rPr>
                <w:noProof/>
                <w:webHidden/>
              </w:rPr>
              <w:instrText xml:space="preserve"> PAGEREF _Toc68269627 \h </w:instrText>
            </w:r>
            <w:r w:rsidR="00A0687A">
              <w:rPr>
                <w:noProof/>
                <w:webHidden/>
              </w:rPr>
            </w:r>
            <w:r w:rsidR="00A0687A">
              <w:rPr>
                <w:noProof/>
                <w:webHidden/>
              </w:rPr>
              <w:fldChar w:fldCharType="separate"/>
            </w:r>
            <w:r w:rsidR="00A0687A">
              <w:rPr>
                <w:noProof/>
                <w:webHidden/>
              </w:rPr>
              <w:t>25</w:t>
            </w:r>
            <w:r w:rsidR="00A0687A">
              <w:rPr>
                <w:noProof/>
                <w:webHidden/>
              </w:rPr>
              <w:fldChar w:fldCharType="end"/>
            </w:r>
          </w:hyperlink>
        </w:p>
        <w:p w14:paraId="45030FE3" w14:textId="283ACED3" w:rsidR="00A0687A" w:rsidRDefault="007444D7">
          <w:pPr>
            <w:pStyle w:val="TOC3"/>
            <w:tabs>
              <w:tab w:val="right" w:leader="dot" w:pos="9062"/>
            </w:tabs>
            <w:rPr>
              <w:rFonts w:eastAsiaTheme="minorEastAsia" w:cstheme="minorBidi"/>
              <w:smallCaps w:val="0"/>
              <w:noProof/>
              <w:sz w:val="24"/>
              <w:szCs w:val="24"/>
            </w:rPr>
          </w:pPr>
          <w:hyperlink w:anchor="_Toc68269628" w:history="1">
            <w:r w:rsidR="00A0687A" w:rsidRPr="00963B8B">
              <w:rPr>
                <w:rStyle w:val="Hyperlink"/>
                <w:noProof/>
              </w:rPr>
              <w:t>Annexe 2 : Statistiques VBG et EAS en milieu scolaire</w:t>
            </w:r>
            <w:r w:rsidR="00A0687A">
              <w:rPr>
                <w:noProof/>
                <w:webHidden/>
              </w:rPr>
              <w:tab/>
            </w:r>
            <w:r w:rsidR="00A0687A">
              <w:rPr>
                <w:noProof/>
                <w:webHidden/>
              </w:rPr>
              <w:fldChar w:fldCharType="begin"/>
            </w:r>
            <w:r w:rsidR="00A0687A">
              <w:rPr>
                <w:noProof/>
                <w:webHidden/>
              </w:rPr>
              <w:instrText xml:space="preserve"> PAGEREF _Toc68269628 \h </w:instrText>
            </w:r>
            <w:r w:rsidR="00A0687A">
              <w:rPr>
                <w:noProof/>
                <w:webHidden/>
              </w:rPr>
            </w:r>
            <w:r w:rsidR="00A0687A">
              <w:rPr>
                <w:noProof/>
                <w:webHidden/>
              </w:rPr>
              <w:fldChar w:fldCharType="separate"/>
            </w:r>
            <w:r w:rsidR="00A0687A">
              <w:rPr>
                <w:noProof/>
                <w:webHidden/>
              </w:rPr>
              <w:t>29</w:t>
            </w:r>
            <w:r w:rsidR="00A0687A">
              <w:rPr>
                <w:noProof/>
                <w:webHidden/>
              </w:rPr>
              <w:fldChar w:fldCharType="end"/>
            </w:r>
          </w:hyperlink>
        </w:p>
        <w:p w14:paraId="218559A0" w14:textId="1CC60058" w:rsidR="00A0687A" w:rsidRDefault="007444D7">
          <w:pPr>
            <w:pStyle w:val="TOC3"/>
            <w:tabs>
              <w:tab w:val="right" w:leader="dot" w:pos="9062"/>
            </w:tabs>
            <w:rPr>
              <w:rFonts w:eastAsiaTheme="minorEastAsia" w:cstheme="minorBidi"/>
              <w:smallCaps w:val="0"/>
              <w:noProof/>
              <w:sz w:val="24"/>
              <w:szCs w:val="24"/>
            </w:rPr>
          </w:pPr>
          <w:hyperlink w:anchor="_Toc68269630" w:history="1">
            <w:r w:rsidR="00A0687A" w:rsidRPr="00963B8B">
              <w:rPr>
                <w:rStyle w:val="Hyperlink"/>
                <w:noProof/>
              </w:rPr>
              <w:t>Annexe 3 : Cadre juridique et institutionnel</w:t>
            </w:r>
            <w:r w:rsidR="00A0687A">
              <w:rPr>
                <w:noProof/>
                <w:webHidden/>
              </w:rPr>
              <w:tab/>
            </w:r>
            <w:r w:rsidR="00A0687A">
              <w:rPr>
                <w:noProof/>
                <w:webHidden/>
              </w:rPr>
              <w:fldChar w:fldCharType="begin"/>
            </w:r>
            <w:r w:rsidR="00A0687A">
              <w:rPr>
                <w:noProof/>
                <w:webHidden/>
              </w:rPr>
              <w:instrText xml:space="preserve"> PAGEREF _Toc68269630 \h </w:instrText>
            </w:r>
            <w:r w:rsidR="00A0687A">
              <w:rPr>
                <w:noProof/>
                <w:webHidden/>
              </w:rPr>
            </w:r>
            <w:r w:rsidR="00A0687A">
              <w:rPr>
                <w:noProof/>
                <w:webHidden/>
              </w:rPr>
              <w:fldChar w:fldCharType="separate"/>
            </w:r>
            <w:r w:rsidR="00A0687A">
              <w:rPr>
                <w:noProof/>
                <w:webHidden/>
              </w:rPr>
              <w:t>30</w:t>
            </w:r>
            <w:r w:rsidR="00A0687A">
              <w:rPr>
                <w:noProof/>
                <w:webHidden/>
              </w:rPr>
              <w:fldChar w:fldCharType="end"/>
            </w:r>
          </w:hyperlink>
        </w:p>
        <w:p w14:paraId="13CC00A8" w14:textId="44B787B8" w:rsidR="00A0687A" w:rsidRDefault="007444D7">
          <w:pPr>
            <w:pStyle w:val="TOC3"/>
            <w:tabs>
              <w:tab w:val="right" w:leader="dot" w:pos="9062"/>
            </w:tabs>
            <w:rPr>
              <w:rFonts w:eastAsiaTheme="minorEastAsia" w:cstheme="minorBidi"/>
              <w:smallCaps w:val="0"/>
              <w:noProof/>
              <w:sz w:val="24"/>
              <w:szCs w:val="24"/>
            </w:rPr>
          </w:pPr>
          <w:hyperlink w:anchor="_Toc68269631" w:history="1">
            <w:r w:rsidR="00A0687A" w:rsidRPr="00963B8B">
              <w:rPr>
                <w:rStyle w:val="Hyperlink"/>
                <w:noProof/>
              </w:rPr>
              <w:t>Annexe 4 : Cartographie préliminaire des capacités locales et des services existants (SENI – données 2018 à mettre à jour)</w:t>
            </w:r>
            <w:r w:rsidR="00A0687A">
              <w:rPr>
                <w:noProof/>
                <w:webHidden/>
              </w:rPr>
              <w:tab/>
            </w:r>
            <w:r w:rsidR="00A0687A">
              <w:rPr>
                <w:noProof/>
                <w:webHidden/>
              </w:rPr>
              <w:fldChar w:fldCharType="begin"/>
            </w:r>
            <w:r w:rsidR="00A0687A">
              <w:rPr>
                <w:noProof/>
                <w:webHidden/>
              </w:rPr>
              <w:instrText xml:space="preserve"> PAGEREF _Toc68269631 \h </w:instrText>
            </w:r>
            <w:r w:rsidR="00A0687A">
              <w:rPr>
                <w:noProof/>
                <w:webHidden/>
              </w:rPr>
            </w:r>
            <w:r w:rsidR="00A0687A">
              <w:rPr>
                <w:noProof/>
                <w:webHidden/>
              </w:rPr>
              <w:fldChar w:fldCharType="separate"/>
            </w:r>
            <w:r w:rsidR="00A0687A">
              <w:rPr>
                <w:noProof/>
                <w:webHidden/>
              </w:rPr>
              <w:t>36</w:t>
            </w:r>
            <w:r w:rsidR="00A0687A">
              <w:rPr>
                <w:noProof/>
                <w:webHidden/>
              </w:rPr>
              <w:fldChar w:fldCharType="end"/>
            </w:r>
          </w:hyperlink>
        </w:p>
        <w:p w14:paraId="1441E2FC" w14:textId="1AEB897F" w:rsidR="00A0687A" w:rsidRDefault="007444D7">
          <w:pPr>
            <w:pStyle w:val="TOC3"/>
            <w:tabs>
              <w:tab w:val="right" w:leader="dot" w:pos="9062"/>
            </w:tabs>
            <w:rPr>
              <w:rFonts w:eastAsiaTheme="minorEastAsia" w:cstheme="minorBidi"/>
              <w:smallCaps w:val="0"/>
              <w:noProof/>
              <w:sz w:val="24"/>
              <w:szCs w:val="24"/>
            </w:rPr>
          </w:pPr>
          <w:hyperlink w:anchor="_Toc68269632" w:history="1">
            <w:r w:rsidR="00A0687A" w:rsidRPr="00963B8B">
              <w:rPr>
                <w:rStyle w:val="Hyperlink"/>
                <w:noProof/>
              </w:rPr>
              <w:t>Annexe 5 : Circuit de référence dans les zones ciblées (fichiers FNUAP disponibles par régions)</w:t>
            </w:r>
            <w:r w:rsidR="00A0687A">
              <w:rPr>
                <w:noProof/>
                <w:webHidden/>
              </w:rPr>
              <w:tab/>
            </w:r>
            <w:r w:rsidR="00A0687A">
              <w:rPr>
                <w:noProof/>
                <w:webHidden/>
              </w:rPr>
              <w:fldChar w:fldCharType="begin"/>
            </w:r>
            <w:r w:rsidR="00A0687A">
              <w:rPr>
                <w:noProof/>
                <w:webHidden/>
              </w:rPr>
              <w:instrText xml:space="preserve"> PAGEREF _Toc68269632 \h </w:instrText>
            </w:r>
            <w:r w:rsidR="00A0687A">
              <w:rPr>
                <w:noProof/>
                <w:webHidden/>
              </w:rPr>
            </w:r>
            <w:r w:rsidR="00A0687A">
              <w:rPr>
                <w:noProof/>
                <w:webHidden/>
              </w:rPr>
              <w:fldChar w:fldCharType="separate"/>
            </w:r>
            <w:r w:rsidR="00A0687A">
              <w:rPr>
                <w:noProof/>
                <w:webHidden/>
              </w:rPr>
              <w:t>38</w:t>
            </w:r>
            <w:r w:rsidR="00A0687A">
              <w:rPr>
                <w:noProof/>
                <w:webHidden/>
              </w:rPr>
              <w:fldChar w:fldCharType="end"/>
            </w:r>
          </w:hyperlink>
        </w:p>
        <w:p w14:paraId="3EAD88A2" w14:textId="0262720D" w:rsidR="00A0687A" w:rsidRDefault="007444D7">
          <w:pPr>
            <w:pStyle w:val="TOC1"/>
            <w:tabs>
              <w:tab w:val="right" w:leader="dot" w:pos="9062"/>
            </w:tabs>
            <w:rPr>
              <w:rFonts w:eastAsiaTheme="minorEastAsia" w:cstheme="minorBidi"/>
              <w:b w:val="0"/>
              <w:bCs w:val="0"/>
              <w:caps w:val="0"/>
              <w:noProof/>
              <w:sz w:val="24"/>
              <w:szCs w:val="24"/>
              <w:u w:val="none"/>
            </w:rPr>
          </w:pPr>
          <w:hyperlink w:anchor="_Toc68269633" w:history="1">
            <w:r w:rsidR="00A0687A" w:rsidRPr="00963B8B">
              <w:rPr>
                <w:rStyle w:val="Hyperlink"/>
                <w:noProof/>
              </w:rPr>
              <w:t>Bibliographie</w:t>
            </w:r>
            <w:r w:rsidR="00A0687A">
              <w:rPr>
                <w:noProof/>
                <w:webHidden/>
              </w:rPr>
              <w:tab/>
            </w:r>
            <w:r w:rsidR="00A0687A">
              <w:rPr>
                <w:noProof/>
                <w:webHidden/>
              </w:rPr>
              <w:fldChar w:fldCharType="begin"/>
            </w:r>
            <w:r w:rsidR="00A0687A">
              <w:rPr>
                <w:noProof/>
                <w:webHidden/>
              </w:rPr>
              <w:instrText xml:space="preserve"> PAGEREF _Toc68269633 \h </w:instrText>
            </w:r>
            <w:r w:rsidR="00A0687A">
              <w:rPr>
                <w:noProof/>
                <w:webHidden/>
              </w:rPr>
            </w:r>
            <w:r w:rsidR="00A0687A">
              <w:rPr>
                <w:noProof/>
                <w:webHidden/>
              </w:rPr>
              <w:fldChar w:fldCharType="separate"/>
            </w:r>
            <w:r w:rsidR="00A0687A">
              <w:rPr>
                <w:noProof/>
                <w:webHidden/>
              </w:rPr>
              <w:t>39</w:t>
            </w:r>
            <w:r w:rsidR="00A0687A">
              <w:rPr>
                <w:noProof/>
                <w:webHidden/>
              </w:rPr>
              <w:fldChar w:fldCharType="end"/>
            </w:r>
          </w:hyperlink>
        </w:p>
        <w:p w14:paraId="4392C6E3" w14:textId="39339E25" w:rsidR="00E02032" w:rsidRDefault="00E02032" w:rsidP="00E02032">
          <w:r>
            <w:rPr>
              <w:b/>
              <w:bCs/>
              <w:noProof/>
            </w:rPr>
            <w:fldChar w:fldCharType="end"/>
          </w:r>
        </w:p>
      </w:sdtContent>
    </w:sdt>
    <w:p w14:paraId="70E4DD89" w14:textId="77777777" w:rsidR="00E02032" w:rsidRPr="00AB1CF4" w:rsidRDefault="00E02032" w:rsidP="00E02032">
      <w:pPr>
        <w:pStyle w:val="Heading1"/>
        <w:rPr>
          <w:rFonts w:asciiTheme="minorHAnsi" w:hAnsiTheme="minorHAnsi" w:cstheme="minorHAnsi"/>
          <w:sz w:val="24"/>
          <w:szCs w:val="24"/>
        </w:rPr>
      </w:pPr>
      <w:bookmarkStart w:id="0" w:name="_Toc68269610"/>
      <w:r w:rsidRPr="00AB1CF4">
        <w:rPr>
          <w:rFonts w:asciiTheme="minorHAnsi" w:hAnsiTheme="minorHAnsi" w:cstheme="minorHAnsi"/>
          <w:sz w:val="24"/>
          <w:szCs w:val="24"/>
        </w:rPr>
        <w:lastRenderedPageBreak/>
        <w:t>LISTE DES ABREVIATIONS</w:t>
      </w:r>
      <w:bookmarkEnd w:id="0"/>
    </w:p>
    <w:p w14:paraId="1713C044" w14:textId="77777777" w:rsidR="00E02032" w:rsidRPr="00AB1CF4" w:rsidRDefault="00E02032" w:rsidP="00E02032">
      <w:pPr>
        <w:jc w:val="both"/>
        <w:rPr>
          <w:rFonts w:cstheme="minorHAnsi"/>
          <w:b/>
        </w:rPr>
      </w:pPr>
    </w:p>
    <w:p w14:paraId="6BC3AEF7" w14:textId="77777777" w:rsidR="00E02032" w:rsidRPr="00AB1CF4" w:rsidRDefault="00E02032" w:rsidP="00E02032">
      <w:pPr>
        <w:jc w:val="both"/>
        <w:rPr>
          <w:rFonts w:cstheme="minorHAnsi"/>
          <w:b/>
        </w:rPr>
      </w:pPr>
      <w:r w:rsidRPr="00AB1CF4">
        <w:rPr>
          <w:rFonts w:cstheme="minorHAnsi"/>
          <w:b/>
        </w:rPr>
        <w:t xml:space="preserve">CES </w:t>
      </w:r>
      <w:r w:rsidRPr="00AB1CF4">
        <w:rPr>
          <w:rFonts w:cstheme="minorHAnsi"/>
          <w:bCs/>
        </w:rPr>
        <w:t>Cadre Environnemental et Social</w:t>
      </w:r>
    </w:p>
    <w:p w14:paraId="4D1C37C2" w14:textId="77777777" w:rsidR="00E02032" w:rsidRPr="00AB1CF4" w:rsidRDefault="00E02032" w:rsidP="00E02032">
      <w:pPr>
        <w:jc w:val="both"/>
        <w:rPr>
          <w:rFonts w:cstheme="minorHAnsi"/>
          <w:bCs/>
        </w:rPr>
      </w:pPr>
      <w:r w:rsidRPr="00AB1CF4">
        <w:rPr>
          <w:rFonts w:cstheme="minorHAnsi"/>
          <w:b/>
        </w:rPr>
        <w:t xml:space="preserve">EAS </w:t>
      </w:r>
      <w:r w:rsidRPr="00AB1CF4">
        <w:rPr>
          <w:rFonts w:cstheme="minorHAnsi"/>
          <w:bCs/>
        </w:rPr>
        <w:t>Exploitation et Atteintes Sexuelles</w:t>
      </w:r>
    </w:p>
    <w:p w14:paraId="4E93FB65" w14:textId="77777777" w:rsidR="00E02032" w:rsidRPr="00AB1CF4" w:rsidRDefault="00E02032" w:rsidP="00E02032">
      <w:pPr>
        <w:jc w:val="both"/>
        <w:rPr>
          <w:rFonts w:cstheme="minorHAnsi"/>
          <w:b/>
        </w:rPr>
      </w:pPr>
      <w:r w:rsidRPr="00AB1CF4">
        <w:rPr>
          <w:rFonts w:cstheme="minorHAnsi"/>
          <w:b/>
        </w:rPr>
        <w:t xml:space="preserve">EES </w:t>
      </w:r>
      <w:r w:rsidRPr="00AB1CF4">
        <w:rPr>
          <w:rFonts w:cstheme="minorHAnsi"/>
          <w:bCs/>
        </w:rPr>
        <w:t>Évaluation Environnementale et Sociale</w:t>
      </w:r>
    </w:p>
    <w:p w14:paraId="1E203D71" w14:textId="77777777" w:rsidR="00E02032" w:rsidRPr="00AB1CF4" w:rsidRDefault="00E02032" w:rsidP="00E02032">
      <w:pPr>
        <w:jc w:val="both"/>
        <w:rPr>
          <w:rFonts w:cstheme="minorHAnsi"/>
          <w:b/>
        </w:rPr>
      </w:pPr>
      <w:r w:rsidRPr="00AB1CF4">
        <w:rPr>
          <w:rFonts w:cstheme="minorHAnsi"/>
          <w:b/>
        </w:rPr>
        <w:t xml:space="preserve">FNUAP </w:t>
      </w:r>
      <w:r w:rsidRPr="00AB1CF4">
        <w:rPr>
          <w:rFonts w:cstheme="minorHAnsi"/>
          <w:bCs/>
        </w:rPr>
        <w:t xml:space="preserve">Fonds des Nations Unies pour la Population </w:t>
      </w:r>
    </w:p>
    <w:p w14:paraId="55E1D32B" w14:textId="77777777" w:rsidR="00E02032" w:rsidRPr="00AB1CF4" w:rsidRDefault="00E02032" w:rsidP="00E02032">
      <w:pPr>
        <w:jc w:val="both"/>
        <w:rPr>
          <w:rFonts w:cstheme="minorHAnsi"/>
          <w:b/>
        </w:rPr>
      </w:pPr>
      <w:r w:rsidRPr="00AB1CF4">
        <w:rPr>
          <w:rFonts w:cstheme="minorHAnsi"/>
          <w:b/>
        </w:rPr>
        <w:t xml:space="preserve">FPI </w:t>
      </w:r>
      <w:r w:rsidRPr="00AB1CF4">
        <w:rPr>
          <w:rFonts w:cstheme="minorHAnsi"/>
          <w:bCs/>
        </w:rPr>
        <w:t>Financement de Projets d’Investissement</w:t>
      </w:r>
    </w:p>
    <w:p w14:paraId="536EFE86" w14:textId="77777777" w:rsidR="00E02032" w:rsidRPr="00AB1CF4" w:rsidRDefault="00E02032" w:rsidP="00E02032">
      <w:pPr>
        <w:jc w:val="both"/>
        <w:rPr>
          <w:rFonts w:cstheme="minorHAnsi"/>
          <w:bCs/>
        </w:rPr>
      </w:pPr>
      <w:r w:rsidRPr="00AB1CF4">
        <w:rPr>
          <w:rFonts w:cstheme="minorHAnsi"/>
          <w:b/>
        </w:rPr>
        <w:t xml:space="preserve">HS </w:t>
      </w:r>
      <w:r w:rsidRPr="00AB1CF4">
        <w:rPr>
          <w:rFonts w:cstheme="minorHAnsi"/>
          <w:bCs/>
        </w:rPr>
        <w:t>Harcèlement Sexuel</w:t>
      </w:r>
    </w:p>
    <w:p w14:paraId="642735B7" w14:textId="77777777" w:rsidR="00E02032" w:rsidRPr="00AB1CF4" w:rsidRDefault="00E02032" w:rsidP="00E02032">
      <w:pPr>
        <w:jc w:val="both"/>
        <w:rPr>
          <w:rFonts w:cstheme="minorHAnsi"/>
          <w:bCs/>
        </w:rPr>
      </w:pPr>
      <w:r w:rsidRPr="00AB1CF4">
        <w:rPr>
          <w:rFonts w:cstheme="minorHAnsi"/>
          <w:b/>
        </w:rPr>
        <w:t xml:space="preserve">IRC </w:t>
      </w:r>
      <w:r w:rsidRPr="00AB1CF4">
        <w:rPr>
          <w:rFonts w:cstheme="minorHAnsi"/>
          <w:bCs/>
        </w:rPr>
        <w:t>International Rescue Committee</w:t>
      </w:r>
    </w:p>
    <w:p w14:paraId="4F44A1EB" w14:textId="77777777" w:rsidR="00E02032" w:rsidRPr="00AB1CF4" w:rsidRDefault="00E02032" w:rsidP="00E02032">
      <w:pPr>
        <w:jc w:val="both"/>
        <w:rPr>
          <w:rFonts w:cstheme="minorHAnsi"/>
          <w:bCs/>
        </w:rPr>
      </w:pPr>
      <w:r w:rsidRPr="00AB1CF4">
        <w:rPr>
          <w:rFonts w:cstheme="minorHAnsi"/>
          <w:b/>
        </w:rPr>
        <w:t xml:space="preserve">NBP </w:t>
      </w:r>
      <w:r w:rsidRPr="00AB1CF4">
        <w:rPr>
          <w:rFonts w:cstheme="minorHAnsi"/>
          <w:bCs/>
        </w:rPr>
        <w:t>Note de Bonnes Pratiques</w:t>
      </w:r>
    </w:p>
    <w:p w14:paraId="1704988E" w14:textId="77777777" w:rsidR="00E02032" w:rsidRPr="00AB1CF4" w:rsidRDefault="00E02032" w:rsidP="00E02032">
      <w:pPr>
        <w:jc w:val="both"/>
        <w:rPr>
          <w:rFonts w:cstheme="minorHAnsi"/>
          <w:bCs/>
        </w:rPr>
      </w:pPr>
      <w:r w:rsidRPr="00AB1CF4">
        <w:rPr>
          <w:rFonts w:cstheme="minorHAnsi"/>
          <w:b/>
        </w:rPr>
        <w:t xml:space="preserve">NES </w:t>
      </w:r>
      <w:r w:rsidRPr="00AB1CF4">
        <w:rPr>
          <w:rFonts w:cstheme="minorHAnsi"/>
          <w:bCs/>
        </w:rPr>
        <w:t>Norme Environnementale et Sociale</w:t>
      </w:r>
    </w:p>
    <w:p w14:paraId="265D2D72" w14:textId="77777777" w:rsidR="00E02032" w:rsidRPr="00AB1CF4" w:rsidRDefault="00E02032" w:rsidP="00E02032">
      <w:pPr>
        <w:jc w:val="both"/>
        <w:rPr>
          <w:rFonts w:cstheme="minorHAnsi"/>
          <w:bCs/>
        </w:rPr>
      </w:pPr>
      <w:r w:rsidRPr="00AB1CF4">
        <w:rPr>
          <w:rFonts w:cstheme="minorHAnsi"/>
          <w:b/>
        </w:rPr>
        <w:t xml:space="preserve">OMS </w:t>
      </w:r>
      <w:r w:rsidRPr="00AB1CF4">
        <w:rPr>
          <w:rFonts w:cstheme="minorHAnsi"/>
          <w:bCs/>
        </w:rPr>
        <w:t>Organisation Mondiale de la Santé</w:t>
      </w:r>
    </w:p>
    <w:p w14:paraId="5FA5282F" w14:textId="77777777" w:rsidR="00E02032" w:rsidRPr="00AB1CF4" w:rsidRDefault="00E02032" w:rsidP="00E02032">
      <w:pPr>
        <w:jc w:val="both"/>
        <w:rPr>
          <w:rFonts w:cstheme="minorHAnsi"/>
          <w:b/>
        </w:rPr>
      </w:pPr>
      <w:r w:rsidRPr="00AB1CF4">
        <w:rPr>
          <w:rFonts w:cstheme="minorHAnsi"/>
          <w:b/>
        </w:rPr>
        <w:t xml:space="preserve">ONG </w:t>
      </w:r>
      <w:r w:rsidRPr="00AB1CF4">
        <w:rPr>
          <w:rFonts w:cstheme="minorHAnsi"/>
          <w:bCs/>
        </w:rPr>
        <w:t>Organisation Non Gouvernementale</w:t>
      </w:r>
    </w:p>
    <w:p w14:paraId="5E036EA3" w14:textId="77777777" w:rsidR="00E02032" w:rsidRPr="00AB1CF4" w:rsidRDefault="00E02032" w:rsidP="00E02032">
      <w:pPr>
        <w:jc w:val="both"/>
        <w:rPr>
          <w:rFonts w:cstheme="minorHAnsi"/>
          <w:bCs/>
        </w:rPr>
      </w:pPr>
      <w:r w:rsidRPr="00AB1CF4">
        <w:rPr>
          <w:rFonts w:cstheme="minorHAnsi"/>
          <w:b/>
        </w:rPr>
        <w:t xml:space="preserve">PEES </w:t>
      </w:r>
      <w:r w:rsidRPr="00AB1CF4">
        <w:rPr>
          <w:rFonts w:cstheme="minorHAnsi"/>
          <w:bCs/>
        </w:rPr>
        <w:t>Plan d’Engagement Environnemental et Social</w:t>
      </w:r>
    </w:p>
    <w:p w14:paraId="44B83BB5" w14:textId="77777777" w:rsidR="00E02032" w:rsidRPr="00AB1CF4" w:rsidRDefault="00E02032" w:rsidP="00E02032">
      <w:pPr>
        <w:jc w:val="both"/>
        <w:rPr>
          <w:rFonts w:cstheme="minorHAnsi"/>
          <w:bCs/>
        </w:rPr>
      </w:pPr>
      <w:r w:rsidRPr="00AB1CF4">
        <w:rPr>
          <w:rFonts w:cstheme="minorHAnsi"/>
          <w:b/>
        </w:rPr>
        <w:t xml:space="preserve">PGES </w:t>
      </w:r>
      <w:r w:rsidRPr="00AB1CF4">
        <w:rPr>
          <w:rFonts w:cstheme="minorHAnsi"/>
          <w:bCs/>
        </w:rPr>
        <w:t>Plan de Gestion Environnementale et Sociale</w:t>
      </w:r>
    </w:p>
    <w:p w14:paraId="6AD75615" w14:textId="77777777" w:rsidR="00E02032" w:rsidRPr="00AB1CF4" w:rsidRDefault="00E02032" w:rsidP="00E02032">
      <w:pPr>
        <w:jc w:val="both"/>
        <w:rPr>
          <w:rFonts w:cstheme="minorHAnsi"/>
          <w:bCs/>
        </w:rPr>
      </w:pPr>
      <w:r w:rsidRPr="00AB1CF4">
        <w:rPr>
          <w:rFonts w:cstheme="minorHAnsi"/>
          <w:b/>
        </w:rPr>
        <w:t xml:space="preserve">PGES-E </w:t>
      </w:r>
      <w:r w:rsidRPr="00AB1CF4">
        <w:rPr>
          <w:rFonts w:cstheme="minorHAnsi"/>
          <w:bCs/>
        </w:rPr>
        <w:t>Plan de Gestion Environnementale et Sociale de l’Entrepreneur</w:t>
      </w:r>
    </w:p>
    <w:p w14:paraId="620E60D5" w14:textId="77777777" w:rsidR="00E02032" w:rsidRPr="00AB1CF4" w:rsidRDefault="00E02032" w:rsidP="00E02032">
      <w:pPr>
        <w:jc w:val="both"/>
        <w:rPr>
          <w:rFonts w:cstheme="minorHAnsi"/>
          <w:bCs/>
        </w:rPr>
      </w:pPr>
      <w:r w:rsidRPr="00AB1CF4">
        <w:rPr>
          <w:rFonts w:cstheme="minorHAnsi"/>
          <w:b/>
        </w:rPr>
        <w:t xml:space="preserve">PMPP </w:t>
      </w:r>
      <w:r w:rsidRPr="00AB1CF4">
        <w:rPr>
          <w:rFonts w:cstheme="minorHAnsi"/>
          <w:bCs/>
        </w:rPr>
        <w:t>Plan de Mobilisation des Parties Prenantes</w:t>
      </w:r>
    </w:p>
    <w:p w14:paraId="5CA5B94C" w14:textId="77777777" w:rsidR="00E02032" w:rsidRPr="00AB1CF4" w:rsidRDefault="00E02032" w:rsidP="00E02032">
      <w:pPr>
        <w:jc w:val="both"/>
        <w:rPr>
          <w:rFonts w:cstheme="minorHAnsi"/>
          <w:bCs/>
        </w:rPr>
      </w:pPr>
      <w:r w:rsidRPr="00AB1CF4">
        <w:rPr>
          <w:rFonts w:cstheme="minorHAnsi"/>
          <w:b/>
        </w:rPr>
        <w:t xml:space="preserve">TDR </w:t>
      </w:r>
      <w:r w:rsidRPr="00AB1CF4">
        <w:rPr>
          <w:rFonts w:cstheme="minorHAnsi"/>
          <w:bCs/>
        </w:rPr>
        <w:t>Termes de Référence</w:t>
      </w:r>
    </w:p>
    <w:p w14:paraId="5CC2845B" w14:textId="77777777" w:rsidR="00E02032" w:rsidRPr="00AB1CF4" w:rsidRDefault="00E02032" w:rsidP="00E02032">
      <w:pPr>
        <w:jc w:val="both"/>
        <w:rPr>
          <w:rFonts w:cstheme="minorHAnsi"/>
          <w:bCs/>
        </w:rPr>
      </w:pPr>
      <w:r w:rsidRPr="00AB1CF4">
        <w:rPr>
          <w:rFonts w:cstheme="minorHAnsi"/>
          <w:b/>
        </w:rPr>
        <w:t xml:space="preserve">UGP </w:t>
      </w:r>
      <w:r w:rsidRPr="00AB1CF4">
        <w:rPr>
          <w:rFonts w:cstheme="minorHAnsi"/>
          <w:bCs/>
        </w:rPr>
        <w:t>Unité de Gestion du Projet (également désignée souvent par Unité d’exécution du projet ou UEP)</w:t>
      </w:r>
    </w:p>
    <w:p w14:paraId="2D5C788B" w14:textId="77777777" w:rsidR="00E02032" w:rsidRDefault="00E02032" w:rsidP="00E02032">
      <w:pPr>
        <w:jc w:val="both"/>
        <w:rPr>
          <w:rFonts w:cstheme="minorHAnsi"/>
          <w:bCs/>
        </w:rPr>
      </w:pPr>
      <w:r w:rsidRPr="00AB1CF4">
        <w:rPr>
          <w:rFonts w:cstheme="minorHAnsi"/>
          <w:b/>
        </w:rPr>
        <w:t xml:space="preserve">UNICEF </w:t>
      </w:r>
      <w:r w:rsidRPr="00AB1CF4">
        <w:rPr>
          <w:rFonts w:cstheme="minorHAnsi"/>
          <w:bCs/>
        </w:rPr>
        <w:t>Fonds des Nations Unies pour l’Enfance</w:t>
      </w:r>
    </w:p>
    <w:p w14:paraId="4F892C09" w14:textId="77777777" w:rsidR="00E02032" w:rsidRPr="00AB1CF4" w:rsidRDefault="00E02032" w:rsidP="00E02032">
      <w:pPr>
        <w:jc w:val="both"/>
        <w:rPr>
          <w:rFonts w:cstheme="minorHAnsi"/>
          <w:bCs/>
        </w:rPr>
      </w:pPr>
      <w:r w:rsidRPr="00E86D59">
        <w:rPr>
          <w:rFonts w:cstheme="minorHAnsi"/>
          <w:b/>
        </w:rPr>
        <w:t>UNFPA</w:t>
      </w:r>
      <w:r>
        <w:rPr>
          <w:rFonts w:cstheme="minorHAnsi"/>
          <w:bCs/>
        </w:rPr>
        <w:t xml:space="preserve"> Fonds des Nations Unies pour les Populations </w:t>
      </w:r>
    </w:p>
    <w:p w14:paraId="5C6B304E" w14:textId="77777777" w:rsidR="00E02032" w:rsidRPr="00AB1CF4" w:rsidRDefault="00E02032" w:rsidP="00E02032">
      <w:pPr>
        <w:jc w:val="both"/>
        <w:rPr>
          <w:rFonts w:cstheme="minorHAnsi"/>
          <w:b/>
        </w:rPr>
      </w:pPr>
      <w:r w:rsidRPr="00AB1CF4">
        <w:rPr>
          <w:rFonts w:cstheme="minorHAnsi"/>
          <w:b/>
        </w:rPr>
        <w:t xml:space="preserve">VBG </w:t>
      </w:r>
      <w:r w:rsidRPr="00AB1CF4">
        <w:rPr>
          <w:rFonts w:cstheme="minorHAnsi"/>
          <w:bCs/>
        </w:rPr>
        <w:t>Violence Basée sur le Genre</w:t>
      </w:r>
      <w:r w:rsidRPr="00AB1CF4">
        <w:rPr>
          <w:rFonts w:cstheme="minorHAnsi"/>
          <w:b/>
        </w:rPr>
        <w:t xml:space="preserve"> </w:t>
      </w:r>
    </w:p>
    <w:p w14:paraId="172914C7" w14:textId="77777777" w:rsidR="00E02032" w:rsidRPr="00AB1CF4" w:rsidRDefault="00E02032" w:rsidP="00E02032">
      <w:pPr>
        <w:jc w:val="both"/>
        <w:rPr>
          <w:rFonts w:cstheme="minorHAnsi"/>
          <w:bCs/>
        </w:rPr>
      </w:pPr>
      <w:r w:rsidRPr="00AB1CF4">
        <w:rPr>
          <w:rFonts w:cstheme="minorHAnsi"/>
          <w:b/>
        </w:rPr>
        <w:t xml:space="preserve">VIH/SIDA </w:t>
      </w:r>
      <w:r w:rsidRPr="00AB1CF4">
        <w:rPr>
          <w:rFonts w:cstheme="minorHAnsi"/>
          <w:bCs/>
        </w:rPr>
        <w:t>Virus d’immunodéficience humaine/Syndrome d’immunodéficience acquise</w:t>
      </w:r>
      <w:bookmarkStart w:id="1" w:name="_Toc53472731"/>
      <w:bookmarkStart w:id="2" w:name="_Toc53043166"/>
    </w:p>
    <w:p w14:paraId="1E0ED41C" w14:textId="77777777" w:rsidR="00E02032" w:rsidRPr="00AB1CF4" w:rsidRDefault="00E02032" w:rsidP="00E02032">
      <w:pPr>
        <w:rPr>
          <w:rFonts w:eastAsiaTheme="majorEastAsia" w:cstheme="minorHAnsi"/>
          <w:color w:val="2F5496" w:themeColor="accent1" w:themeShade="BF"/>
          <w:sz w:val="24"/>
          <w:szCs w:val="24"/>
        </w:rPr>
      </w:pPr>
      <w:r w:rsidRPr="00AB1CF4">
        <w:rPr>
          <w:rFonts w:cstheme="minorHAnsi"/>
          <w:sz w:val="24"/>
          <w:szCs w:val="24"/>
        </w:rPr>
        <w:br w:type="page"/>
      </w:r>
    </w:p>
    <w:p w14:paraId="39EC0A64" w14:textId="77777777" w:rsidR="00E02032" w:rsidRPr="00AB1CF4" w:rsidRDefault="00E02032" w:rsidP="00E02032">
      <w:pPr>
        <w:pStyle w:val="Heading1"/>
        <w:rPr>
          <w:rFonts w:asciiTheme="minorHAnsi" w:hAnsiTheme="minorHAnsi" w:cstheme="minorHAnsi"/>
          <w:sz w:val="24"/>
          <w:szCs w:val="24"/>
        </w:rPr>
      </w:pPr>
      <w:bookmarkStart w:id="3" w:name="_Toc68269611"/>
      <w:r w:rsidRPr="00AB1CF4">
        <w:rPr>
          <w:rFonts w:asciiTheme="minorHAnsi" w:hAnsiTheme="minorHAnsi" w:cstheme="minorHAnsi"/>
          <w:sz w:val="24"/>
          <w:szCs w:val="24"/>
        </w:rPr>
        <w:lastRenderedPageBreak/>
        <w:t>INTRODUCTION</w:t>
      </w:r>
      <w:bookmarkEnd w:id="3"/>
      <w:r w:rsidRPr="00AB1CF4">
        <w:rPr>
          <w:rFonts w:asciiTheme="minorHAnsi" w:hAnsiTheme="minorHAnsi" w:cstheme="minorHAnsi"/>
          <w:sz w:val="24"/>
          <w:szCs w:val="24"/>
        </w:rPr>
        <w:t xml:space="preserve"> </w:t>
      </w:r>
      <w:bookmarkEnd w:id="1"/>
    </w:p>
    <w:p w14:paraId="2F577E76" w14:textId="77777777" w:rsidR="00E02032" w:rsidRPr="00AB1CF4" w:rsidRDefault="00E02032" w:rsidP="00E02032">
      <w:pPr>
        <w:jc w:val="both"/>
        <w:rPr>
          <w:rFonts w:cstheme="minorHAnsi"/>
        </w:rPr>
      </w:pPr>
    </w:p>
    <w:p w14:paraId="4A9B506E" w14:textId="436A5A8A" w:rsidR="00E02032" w:rsidRPr="00AB1CF4" w:rsidRDefault="00E02032" w:rsidP="00E02032">
      <w:pPr>
        <w:pStyle w:val="NormalWeb"/>
        <w:spacing w:before="0" w:beforeAutospacing="0" w:after="0" w:afterAutospacing="0"/>
        <w:jc w:val="both"/>
        <w:rPr>
          <w:rFonts w:asciiTheme="minorHAnsi" w:hAnsiTheme="minorHAnsi" w:cstheme="minorHAnsi"/>
          <w:color w:val="000000"/>
          <w:sz w:val="22"/>
          <w:szCs w:val="22"/>
        </w:rPr>
      </w:pPr>
      <w:r w:rsidRPr="00AB1CF4">
        <w:rPr>
          <w:rFonts w:asciiTheme="minorHAnsi" w:hAnsiTheme="minorHAnsi" w:cstheme="minorHAnsi"/>
          <w:b/>
          <w:bCs/>
          <w:color w:val="000000"/>
          <w:sz w:val="22"/>
          <w:szCs w:val="22"/>
        </w:rPr>
        <w:t xml:space="preserve">La Violence Basée sur le Genre (VBG) est l'une des violations les plus courantes des droits de l'homme et un problème de santé publique </w:t>
      </w:r>
      <w:r>
        <w:rPr>
          <w:rFonts w:asciiTheme="minorHAnsi" w:hAnsiTheme="minorHAnsi" w:cstheme="minorHAnsi"/>
          <w:b/>
          <w:bCs/>
          <w:color w:val="000000"/>
          <w:sz w:val="22"/>
          <w:szCs w:val="22"/>
        </w:rPr>
        <w:t xml:space="preserve">à l’échelle </w:t>
      </w:r>
      <w:r w:rsidRPr="00AB1CF4">
        <w:rPr>
          <w:rFonts w:asciiTheme="minorHAnsi" w:hAnsiTheme="minorHAnsi" w:cstheme="minorHAnsi"/>
          <w:b/>
          <w:bCs/>
          <w:color w:val="000000"/>
          <w:sz w:val="22"/>
          <w:szCs w:val="22"/>
        </w:rPr>
        <w:t>mondial</w:t>
      </w:r>
      <w:r>
        <w:rPr>
          <w:rFonts w:asciiTheme="minorHAnsi" w:hAnsiTheme="minorHAnsi" w:cstheme="minorHAnsi"/>
          <w:b/>
          <w:bCs/>
          <w:color w:val="000000"/>
          <w:sz w:val="22"/>
          <w:szCs w:val="22"/>
        </w:rPr>
        <w:t>e</w:t>
      </w:r>
      <w:r w:rsidRPr="00AB1CF4">
        <w:rPr>
          <w:rFonts w:asciiTheme="minorHAnsi" w:hAnsiTheme="minorHAnsi" w:cstheme="minorHAnsi"/>
          <w:b/>
          <w:bCs/>
          <w:color w:val="000000"/>
          <w:sz w:val="22"/>
          <w:szCs w:val="22"/>
        </w:rPr>
        <w:t>. </w:t>
      </w:r>
      <w:r w:rsidRPr="00AB1CF4">
        <w:rPr>
          <w:rFonts w:asciiTheme="minorHAnsi" w:hAnsiTheme="minorHAnsi" w:cstheme="minorHAnsi"/>
          <w:color w:val="000000"/>
          <w:sz w:val="22"/>
          <w:szCs w:val="22"/>
        </w:rPr>
        <w:t xml:space="preserve">Elle existe dans tous les pays et contextes où la Banque mondiale opère et affecte de manière disproportionnée les femmes et les filles. La VBG peut être physique, sexuelle, psychologique, économique et sociale. La VBG, y compris l'Exploitation et les Abus Sexuels (EAS), peut prendre de nombreuses formes différentes, y compris les abus sexuels contre les enfants, la violence commise par les partenaires intimes, le harcèlement et les agressions sexuels, les mutilations génitales féminines, le mariage forcé, la traite et la violence sexuelle utilisées comme armes de guerre. </w:t>
      </w:r>
    </w:p>
    <w:p w14:paraId="43696474" w14:textId="77777777" w:rsidR="00E02032" w:rsidRPr="00AB1CF4" w:rsidRDefault="00E02032" w:rsidP="00E02032">
      <w:pPr>
        <w:pStyle w:val="NormalWeb"/>
        <w:spacing w:before="0" w:beforeAutospacing="0" w:after="0" w:afterAutospacing="0"/>
        <w:jc w:val="both"/>
        <w:rPr>
          <w:rFonts w:asciiTheme="minorHAnsi" w:hAnsiTheme="minorHAnsi" w:cstheme="minorHAnsi"/>
          <w:color w:val="000000"/>
          <w:sz w:val="22"/>
          <w:szCs w:val="22"/>
        </w:rPr>
      </w:pPr>
    </w:p>
    <w:p w14:paraId="3D3F7D79" w14:textId="77777777" w:rsidR="00E02032" w:rsidRPr="00AB1CF4" w:rsidRDefault="00E02032" w:rsidP="00E02032">
      <w:pPr>
        <w:pStyle w:val="NormalWeb"/>
        <w:spacing w:before="0" w:beforeAutospacing="0" w:after="0" w:afterAutospacing="0"/>
        <w:jc w:val="both"/>
        <w:rPr>
          <w:rFonts w:asciiTheme="minorHAnsi" w:hAnsiTheme="minorHAnsi" w:cstheme="minorHAnsi"/>
          <w:color w:val="000000"/>
          <w:sz w:val="27"/>
          <w:szCs w:val="27"/>
        </w:rPr>
      </w:pPr>
      <w:r w:rsidRPr="00AB1CF4">
        <w:rPr>
          <w:rFonts w:asciiTheme="minorHAnsi" w:hAnsiTheme="minorHAnsi" w:cstheme="minorHAnsi"/>
          <w:color w:val="000000"/>
          <w:sz w:val="22"/>
          <w:szCs w:val="22"/>
        </w:rPr>
        <w:t>Les dernières estimations de l'Organisation Mondiale de la Santé (OMS) indiquent que 35% soit une femme sur trois dans le monde, ont subi une forme de violence physique ou sexuelle de la part d'un partenaire intime ou d'un non-partenaire</w:t>
      </w:r>
      <w:r w:rsidRPr="00AB1CF4">
        <w:rPr>
          <w:rStyle w:val="FootnoteReference"/>
          <w:rFonts w:asciiTheme="minorHAnsi" w:hAnsiTheme="minorHAnsi" w:cstheme="minorHAnsi"/>
          <w:color w:val="000000"/>
          <w:sz w:val="22"/>
          <w:szCs w:val="22"/>
        </w:rPr>
        <w:footnoteReference w:id="1"/>
      </w:r>
      <w:r w:rsidRPr="00AB1CF4">
        <w:rPr>
          <w:rFonts w:asciiTheme="minorHAnsi" w:hAnsiTheme="minorHAnsi" w:cstheme="minorHAnsi"/>
          <w:color w:val="000000"/>
          <w:sz w:val="22"/>
          <w:szCs w:val="22"/>
        </w:rPr>
        <w:t>.</w:t>
      </w:r>
      <w:bookmarkStart w:id="4" w:name="_ftnref1"/>
      <w:bookmarkEnd w:id="4"/>
      <w:r w:rsidRPr="00AB1CF4">
        <w:rPr>
          <w:rFonts w:asciiTheme="minorHAnsi" w:hAnsiTheme="minorHAnsi" w:cstheme="minorHAnsi"/>
          <w:color w:val="000000"/>
          <w:sz w:val="27"/>
          <w:szCs w:val="27"/>
        </w:rPr>
        <w:t xml:space="preserve"> </w:t>
      </w:r>
      <w:r w:rsidRPr="00AB1CF4">
        <w:rPr>
          <w:rFonts w:asciiTheme="minorHAnsi" w:hAnsiTheme="minorHAnsi" w:cstheme="minorHAnsi"/>
          <w:color w:val="000000"/>
          <w:sz w:val="22"/>
          <w:szCs w:val="22"/>
        </w:rPr>
        <w:t>Bien que la VBG</w:t>
      </w:r>
      <w:r>
        <w:rPr>
          <w:rFonts w:asciiTheme="minorHAnsi" w:hAnsiTheme="minorHAnsi" w:cstheme="minorHAnsi"/>
          <w:color w:val="000000"/>
          <w:sz w:val="22"/>
          <w:szCs w:val="22"/>
        </w:rPr>
        <w:t xml:space="preserve"> soit</w:t>
      </w:r>
      <w:r w:rsidRPr="00AB1CF4">
        <w:rPr>
          <w:rFonts w:asciiTheme="minorHAnsi" w:hAnsiTheme="minorHAnsi" w:cstheme="minorHAnsi"/>
          <w:color w:val="000000"/>
          <w:sz w:val="22"/>
          <w:szCs w:val="22"/>
        </w:rPr>
        <w:t xml:space="preserve"> un </w:t>
      </w:r>
      <w:r>
        <w:rPr>
          <w:rFonts w:asciiTheme="minorHAnsi" w:hAnsiTheme="minorHAnsi" w:cstheme="minorHAnsi"/>
          <w:color w:val="000000"/>
          <w:sz w:val="22"/>
          <w:szCs w:val="22"/>
        </w:rPr>
        <w:t xml:space="preserve">fléau </w:t>
      </w:r>
      <w:r w:rsidRPr="00AB1CF4">
        <w:rPr>
          <w:rFonts w:asciiTheme="minorHAnsi" w:hAnsiTheme="minorHAnsi" w:cstheme="minorHAnsi"/>
          <w:color w:val="000000"/>
          <w:sz w:val="22"/>
          <w:szCs w:val="22"/>
        </w:rPr>
        <w:t>mondial, sa prévalence, ses facteurs de risque spécifiques et ses défis varient d'un pays à l'autre et même à l'intérieur d'un même pays .</w:t>
      </w:r>
    </w:p>
    <w:p w14:paraId="47BD61CC" w14:textId="77777777" w:rsidR="00E02032" w:rsidRPr="00AB1CF4" w:rsidRDefault="00E02032" w:rsidP="00E02032">
      <w:pPr>
        <w:pStyle w:val="NormalWeb"/>
        <w:spacing w:before="0" w:beforeAutospacing="0" w:after="0" w:afterAutospacing="0"/>
        <w:jc w:val="both"/>
        <w:rPr>
          <w:rFonts w:asciiTheme="minorHAnsi" w:hAnsiTheme="minorHAnsi" w:cstheme="minorHAnsi"/>
          <w:color w:val="000000"/>
          <w:sz w:val="27"/>
          <w:szCs w:val="27"/>
        </w:rPr>
      </w:pPr>
      <w:r w:rsidRPr="00AB1CF4">
        <w:rPr>
          <w:rFonts w:asciiTheme="minorHAnsi" w:hAnsiTheme="minorHAnsi" w:cstheme="minorHAnsi"/>
          <w:color w:val="000000"/>
          <w:sz w:val="22"/>
          <w:szCs w:val="22"/>
        </w:rPr>
        <w:t> </w:t>
      </w:r>
    </w:p>
    <w:p w14:paraId="475DBCF4" w14:textId="77777777" w:rsidR="00E02032" w:rsidRPr="00AB1CF4" w:rsidRDefault="00E02032" w:rsidP="00E02032">
      <w:pPr>
        <w:pStyle w:val="NormalWeb"/>
        <w:spacing w:before="0" w:beforeAutospacing="0" w:after="0" w:afterAutospacing="0"/>
        <w:jc w:val="both"/>
        <w:rPr>
          <w:rFonts w:asciiTheme="minorHAnsi" w:hAnsiTheme="minorHAnsi" w:cstheme="minorHAnsi"/>
          <w:color w:val="000000"/>
          <w:sz w:val="22"/>
          <w:szCs w:val="22"/>
        </w:rPr>
      </w:pPr>
      <w:r w:rsidRPr="00AB1CF4">
        <w:rPr>
          <w:rFonts w:asciiTheme="minorHAnsi" w:hAnsiTheme="minorHAnsi" w:cstheme="minorHAnsi"/>
          <w:b/>
          <w:bCs/>
          <w:color w:val="000000"/>
          <w:sz w:val="22"/>
          <w:szCs w:val="22"/>
        </w:rPr>
        <w:t>La VBG entraîne non seulement des problèmes de santé physique et mentale qui perdurent tout au long de la vie pour les personnes qui la subissent, réduisant leur capacité à agir et à prendre des décisions concernant leur vie. Elle représente aussi un fardeau économique considérable pour les ménages, les communautés et les pays</w:t>
      </w:r>
      <w:r w:rsidRPr="00AB1CF4">
        <w:rPr>
          <w:rStyle w:val="FootnoteReference"/>
          <w:rFonts w:asciiTheme="minorHAnsi" w:hAnsiTheme="minorHAnsi" w:cstheme="minorHAnsi"/>
          <w:b/>
          <w:bCs/>
          <w:color w:val="000000"/>
          <w:sz w:val="22"/>
          <w:szCs w:val="22"/>
        </w:rPr>
        <w:footnoteReference w:id="2"/>
      </w:r>
      <w:bookmarkStart w:id="5" w:name="_ftnref2"/>
      <w:bookmarkEnd w:id="5"/>
      <w:r w:rsidRPr="00AB1CF4">
        <w:rPr>
          <w:rFonts w:asciiTheme="minorHAnsi" w:hAnsiTheme="minorHAnsi" w:cstheme="minorHAnsi"/>
          <w:b/>
          <w:bCs/>
          <w:color w:val="000000"/>
          <w:sz w:val="22"/>
          <w:szCs w:val="22"/>
        </w:rPr>
        <w:t xml:space="preserve">. </w:t>
      </w:r>
      <w:r w:rsidRPr="00AB1CF4">
        <w:rPr>
          <w:rFonts w:asciiTheme="minorHAnsi" w:hAnsiTheme="minorHAnsi" w:cstheme="minorHAnsi"/>
          <w:color w:val="000000"/>
          <w:sz w:val="22"/>
          <w:szCs w:val="22"/>
        </w:rPr>
        <w:t>Les VBG ont des coûts directs, tels que le coût du traitement médical, du soutien juridique. Les ménages supportent également des coûts indirects, tels que la perte de revenus, du fait que la/le survivant.e est incapable de travailler en raison du préjudice physique et / ou psychologique. Ces coûts ont un impact négatif significatif sur l'économie nationale</w:t>
      </w:r>
      <w:r w:rsidRPr="00AB1CF4">
        <w:rPr>
          <w:rStyle w:val="FootnoteReference"/>
          <w:rFonts w:asciiTheme="minorHAnsi" w:hAnsiTheme="minorHAnsi" w:cstheme="minorHAnsi"/>
          <w:color w:val="000000"/>
          <w:sz w:val="22"/>
          <w:szCs w:val="22"/>
        </w:rPr>
        <w:footnoteReference w:id="3"/>
      </w:r>
      <w:r w:rsidRPr="00AB1CF4">
        <w:rPr>
          <w:rFonts w:asciiTheme="minorHAnsi" w:hAnsiTheme="minorHAnsi" w:cstheme="minorHAnsi"/>
          <w:color w:val="000000"/>
          <w:sz w:val="22"/>
          <w:szCs w:val="22"/>
        </w:rPr>
        <w:t>. Ainsi si l’on considère les niveaux élevés significatifs de VBG en République centrafricaine (RCA), il est probable que le coût pour le PIB de la VBG en RCA soit très élevé.</w:t>
      </w:r>
    </w:p>
    <w:p w14:paraId="7226C16B" w14:textId="77777777" w:rsidR="00E02032" w:rsidRPr="00AB1CF4" w:rsidRDefault="00E02032" w:rsidP="00E02032">
      <w:pPr>
        <w:pStyle w:val="NormalWeb"/>
        <w:spacing w:before="0" w:beforeAutospacing="0" w:after="0" w:afterAutospacing="0"/>
        <w:jc w:val="both"/>
        <w:rPr>
          <w:rFonts w:asciiTheme="minorHAnsi" w:hAnsiTheme="minorHAnsi" w:cstheme="minorHAnsi"/>
          <w:color w:val="000000"/>
          <w:sz w:val="27"/>
          <w:szCs w:val="27"/>
        </w:rPr>
      </w:pPr>
      <w:r w:rsidRPr="00AB1CF4">
        <w:rPr>
          <w:rFonts w:asciiTheme="minorHAnsi" w:hAnsiTheme="minorHAnsi" w:cstheme="minorHAnsi"/>
          <w:color w:val="000000"/>
          <w:sz w:val="22"/>
          <w:szCs w:val="22"/>
        </w:rPr>
        <w:t> </w:t>
      </w:r>
    </w:p>
    <w:p w14:paraId="53D70B79" w14:textId="77777777" w:rsidR="00E02032" w:rsidRPr="00AB1CF4" w:rsidRDefault="00E02032" w:rsidP="00E02032">
      <w:pPr>
        <w:jc w:val="both"/>
        <w:rPr>
          <w:rFonts w:cstheme="minorHAnsi"/>
        </w:rPr>
      </w:pPr>
      <w:r w:rsidRPr="00AB1CF4">
        <w:rPr>
          <w:rFonts w:cstheme="minorHAnsi"/>
          <w:b/>
          <w:bCs/>
        </w:rPr>
        <w:t>La Banque mondiale s'est engagée dans les pays où elle opère à veiller à ce que ses opérations ne créent pas, ne contribuent pas ou n'exacerbent pas les dynamiques ou vulnérabilités existantes en matière de VBG.</w:t>
      </w:r>
      <w:r w:rsidRPr="00AB1CF4">
        <w:rPr>
          <w:rFonts w:cstheme="minorHAnsi"/>
        </w:rPr>
        <w:t xml:space="preserve"> À cette fin, la Banque a réalisé une série de revues de portefeuille VBG dans plusieurs pays où les prévalences de ces types de violence s’avèrent particulièrement élevées, afin de:</w:t>
      </w:r>
    </w:p>
    <w:p w14:paraId="7BE0067B" w14:textId="77777777" w:rsidR="00E02032" w:rsidRPr="00AB1CF4" w:rsidRDefault="00E02032" w:rsidP="00E02032">
      <w:pPr>
        <w:ind w:left="708"/>
        <w:jc w:val="both"/>
        <w:rPr>
          <w:rFonts w:cstheme="minorHAnsi"/>
        </w:rPr>
      </w:pPr>
      <w:r w:rsidRPr="00AB1CF4">
        <w:rPr>
          <w:rFonts w:cstheme="minorHAnsi"/>
        </w:rPr>
        <w:t xml:space="preserve">• Évaluer les principaux risques qui peuvent contribuer ou donner lieu </w:t>
      </w:r>
      <w:r>
        <w:rPr>
          <w:rFonts w:cstheme="minorHAnsi"/>
        </w:rPr>
        <w:t xml:space="preserve">dans les zones d’intervention des projets </w:t>
      </w:r>
      <w:r w:rsidRPr="00AB1CF4">
        <w:rPr>
          <w:rFonts w:cstheme="minorHAnsi"/>
        </w:rPr>
        <w:t>à l'exploitation, au harcèlement et aux abus sexuels et à d'autres formes de VBG telles que la violence entre partenaires intimes et le sexe transactionnel;</w:t>
      </w:r>
    </w:p>
    <w:p w14:paraId="5C65A19B" w14:textId="77777777" w:rsidR="00E02032" w:rsidRPr="00AB1CF4" w:rsidRDefault="00E02032" w:rsidP="00E02032">
      <w:pPr>
        <w:ind w:left="708"/>
        <w:jc w:val="both"/>
        <w:rPr>
          <w:rFonts w:cstheme="minorHAnsi"/>
        </w:rPr>
      </w:pPr>
      <w:r w:rsidRPr="00AB1CF4">
        <w:rPr>
          <w:rFonts w:cstheme="minorHAnsi"/>
        </w:rPr>
        <w:t>• Identifier les services de prévention et de réponse pour les survivants de la VBG, en se concentrant sur les services de santé, psychologiques et juridiques, ainsi que sur les lacunes dans les informations et les services;</w:t>
      </w:r>
    </w:p>
    <w:p w14:paraId="41F59A24" w14:textId="77777777" w:rsidR="00E02032" w:rsidRPr="00AB1CF4" w:rsidRDefault="00E02032" w:rsidP="00E02032">
      <w:pPr>
        <w:ind w:left="708"/>
        <w:jc w:val="both"/>
        <w:rPr>
          <w:rFonts w:cstheme="minorHAnsi"/>
        </w:rPr>
      </w:pPr>
      <w:r w:rsidRPr="00AB1CF4">
        <w:rPr>
          <w:rFonts w:cstheme="minorHAnsi"/>
        </w:rPr>
        <w:lastRenderedPageBreak/>
        <w:t xml:space="preserve">• Recommander des interventions clés et des mesures d’atténuation des risques qui peuvent être incorporées dans la conception </w:t>
      </w:r>
      <w:r>
        <w:rPr>
          <w:rFonts w:cstheme="minorHAnsi"/>
        </w:rPr>
        <w:t xml:space="preserve">et accompagner la mise en œuvre </w:t>
      </w:r>
      <w:r w:rsidRPr="00AB1CF4">
        <w:rPr>
          <w:rFonts w:cstheme="minorHAnsi"/>
        </w:rPr>
        <w:t>des futurs projets de la Banque mondiale.</w:t>
      </w:r>
    </w:p>
    <w:p w14:paraId="062720F6" w14:textId="77777777" w:rsidR="00E02032" w:rsidRPr="00AB1CF4" w:rsidRDefault="00E02032" w:rsidP="00E02032">
      <w:pPr>
        <w:jc w:val="both"/>
        <w:rPr>
          <w:rFonts w:cstheme="minorHAnsi"/>
        </w:rPr>
      </w:pPr>
      <w:r w:rsidRPr="00AB1CF4">
        <w:rPr>
          <w:rFonts w:cstheme="minorHAnsi"/>
          <w:b/>
          <w:bCs/>
        </w:rPr>
        <w:t>Dans ce contexte, l'évaluation des risques de violence basée sur le genre (VBG) / Exploitation et Atteintes Sexuelles (EAS) / Harcèlement Sexuel (SH) ainsi que le développement d’un plan d'action ont été recommandés afin d’évaluer les risques d’EAS et d’HS qui pourraient survenir dans le cadre des activités du projet Maïngo.</w:t>
      </w:r>
      <w:r w:rsidRPr="00AB1CF4">
        <w:rPr>
          <w:rFonts w:cstheme="minorHAnsi"/>
        </w:rPr>
        <w:t xml:space="preserve"> </w:t>
      </w:r>
    </w:p>
    <w:p w14:paraId="26283497" w14:textId="77777777" w:rsidR="00E02032" w:rsidRPr="00AB1CF4" w:rsidRDefault="00E02032" w:rsidP="00E02032">
      <w:pPr>
        <w:jc w:val="both"/>
        <w:rPr>
          <w:rFonts w:cstheme="minorHAnsi"/>
        </w:rPr>
      </w:pPr>
      <w:r w:rsidRPr="00AB1CF4">
        <w:rPr>
          <w:rFonts w:cstheme="minorHAnsi"/>
        </w:rPr>
        <w:t>Cette évaluation a pour objectif d’identifier les risques inhérents au contexte centrafricain au sein duquel les activités se déroulent ainsi que les risques potentiels que les activités du projet lui-même pourraient renforcer voire générer.</w:t>
      </w:r>
    </w:p>
    <w:p w14:paraId="6F7659AC" w14:textId="77777777" w:rsidR="00E02032" w:rsidRPr="00AB1CF4" w:rsidRDefault="00E02032" w:rsidP="00E02032">
      <w:pPr>
        <w:jc w:val="both"/>
        <w:rPr>
          <w:rFonts w:cstheme="minorHAnsi"/>
        </w:rPr>
      </w:pPr>
      <w:r w:rsidRPr="00AB1CF4">
        <w:rPr>
          <w:rFonts w:cstheme="minorHAnsi"/>
        </w:rPr>
        <w:t xml:space="preserve">Les Spécialistes en Sauvegarde Environnementales et Sociales </w:t>
      </w:r>
      <w:r>
        <w:rPr>
          <w:rFonts w:cstheme="minorHAnsi"/>
        </w:rPr>
        <w:t xml:space="preserve">et en VBG </w:t>
      </w:r>
      <w:r w:rsidRPr="00AB1CF4">
        <w:rPr>
          <w:rFonts w:cstheme="minorHAnsi"/>
        </w:rPr>
        <w:t xml:space="preserve">de la Banque Mondiale travailleront en étroite collaboration avec l'agence de mise en œuvre et le gouvernement pour minimiser les risques d'EAS/HS, y compris </w:t>
      </w:r>
      <w:r>
        <w:rPr>
          <w:rFonts w:cstheme="minorHAnsi"/>
        </w:rPr>
        <w:t xml:space="preserve">et de manière non-exhaustive </w:t>
      </w:r>
      <w:r w:rsidRPr="00AB1CF4">
        <w:rPr>
          <w:rFonts w:cstheme="minorHAnsi"/>
        </w:rPr>
        <w:t>à travers l'engagement communautaire, en renforçant la formation et sensibilisation des communaut</w:t>
      </w:r>
      <w:r>
        <w:rPr>
          <w:rFonts w:cstheme="minorHAnsi"/>
        </w:rPr>
        <w:t>és</w:t>
      </w:r>
      <w:r w:rsidRPr="00AB1CF4">
        <w:rPr>
          <w:rFonts w:cstheme="minorHAnsi"/>
        </w:rPr>
        <w:t xml:space="preserve">, </w:t>
      </w:r>
      <w:r>
        <w:rPr>
          <w:rFonts w:cstheme="minorHAnsi"/>
        </w:rPr>
        <w:t xml:space="preserve">avec le développement et l’opérationnalisation de code de conduite pour l’ensemble des parties prenantes aux activités du projet, et </w:t>
      </w:r>
      <w:r w:rsidRPr="00AB1CF4">
        <w:rPr>
          <w:rFonts w:cstheme="minorHAnsi"/>
        </w:rPr>
        <w:t>en veillant à ce que des canaux et procédures sensibles à l'EAS/HS soient prévus par le Mécanisme de Gestion des Plaintes (MGP)</w:t>
      </w:r>
      <w:r>
        <w:rPr>
          <w:rFonts w:cstheme="minorHAnsi"/>
        </w:rPr>
        <w:t xml:space="preserve"> du projet Maïngo.</w:t>
      </w:r>
    </w:p>
    <w:p w14:paraId="2A5B0D01" w14:textId="77777777" w:rsidR="00E02032" w:rsidRPr="00AB1CF4" w:rsidRDefault="00E02032" w:rsidP="00E02032">
      <w:pPr>
        <w:pStyle w:val="Heading1"/>
        <w:rPr>
          <w:rFonts w:asciiTheme="minorHAnsi" w:hAnsiTheme="minorHAnsi" w:cstheme="minorHAnsi"/>
          <w:sz w:val="24"/>
          <w:szCs w:val="24"/>
        </w:rPr>
      </w:pPr>
      <w:bookmarkStart w:id="6" w:name="_Toc68269612"/>
      <w:bookmarkEnd w:id="2"/>
      <w:r>
        <w:rPr>
          <w:rFonts w:asciiTheme="minorHAnsi" w:hAnsiTheme="minorHAnsi" w:cstheme="minorHAnsi"/>
          <w:sz w:val="24"/>
          <w:szCs w:val="24"/>
        </w:rPr>
        <w:t>1. Éléments de contexte : d</w:t>
      </w:r>
      <w:r w:rsidRPr="00AB1CF4">
        <w:rPr>
          <w:rFonts w:asciiTheme="minorHAnsi" w:hAnsiTheme="minorHAnsi" w:cstheme="minorHAnsi"/>
          <w:sz w:val="24"/>
          <w:szCs w:val="24"/>
        </w:rPr>
        <w:t>éfis politiques et humanitaires</w:t>
      </w:r>
      <w:r>
        <w:rPr>
          <w:rStyle w:val="FootnoteReference"/>
          <w:rFonts w:asciiTheme="minorHAnsi" w:hAnsiTheme="minorHAnsi" w:cstheme="minorHAnsi"/>
          <w:sz w:val="24"/>
          <w:szCs w:val="24"/>
        </w:rPr>
        <w:footnoteReference w:id="4"/>
      </w:r>
      <w:bookmarkEnd w:id="6"/>
      <w:r w:rsidRPr="00AB1CF4">
        <w:rPr>
          <w:rFonts w:asciiTheme="minorHAnsi" w:hAnsiTheme="minorHAnsi" w:cstheme="minorHAnsi"/>
          <w:sz w:val="24"/>
          <w:szCs w:val="24"/>
        </w:rPr>
        <w:t xml:space="preserve"> </w:t>
      </w:r>
    </w:p>
    <w:p w14:paraId="020E9A09" w14:textId="77777777" w:rsidR="00E02032" w:rsidRDefault="00E02032" w:rsidP="00E02032">
      <w:pPr>
        <w:jc w:val="both"/>
        <w:rPr>
          <w:rFonts w:cstheme="minorHAnsi"/>
        </w:rPr>
      </w:pPr>
    </w:p>
    <w:p w14:paraId="0538075E" w14:textId="77777777" w:rsidR="00E02032" w:rsidRPr="00AB1CF4" w:rsidRDefault="00E02032" w:rsidP="00E02032">
      <w:pPr>
        <w:jc w:val="both"/>
        <w:rPr>
          <w:rFonts w:cstheme="minorHAnsi"/>
        </w:rPr>
      </w:pPr>
      <w:r>
        <w:rPr>
          <w:rFonts w:cstheme="minorHAnsi"/>
          <w:b/>
          <w:bCs/>
        </w:rPr>
        <w:t>En 2021, l</w:t>
      </w:r>
      <w:r w:rsidRPr="00AB1CF4">
        <w:rPr>
          <w:rFonts w:cstheme="minorHAnsi"/>
          <w:b/>
          <w:bCs/>
        </w:rPr>
        <w:t>a République centrafricaine continue de faire face à une crise de protection</w:t>
      </w:r>
      <w:r w:rsidRPr="00704D78">
        <w:rPr>
          <w:rFonts w:cstheme="minorHAnsi"/>
          <w:b/>
          <w:bCs/>
        </w:rPr>
        <w:t xml:space="preserve"> majeure</w:t>
      </w:r>
      <w:r w:rsidRPr="00AB1CF4">
        <w:rPr>
          <w:rFonts w:cstheme="minorHAnsi"/>
          <w:b/>
          <w:bCs/>
        </w:rPr>
        <w:t>, avec une augmentation constante des violations des droits de l'homme et du droit international humanitaire malgré la signature de l'Accord politique pour la paix et la réconciliation en 2019.</w:t>
      </w:r>
      <w:r w:rsidRPr="00AB1CF4">
        <w:rPr>
          <w:rFonts w:cstheme="minorHAnsi"/>
        </w:rPr>
        <w:t xml:space="preserve"> </w:t>
      </w:r>
      <w:r>
        <w:rPr>
          <w:rFonts w:cstheme="minorHAnsi"/>
        </w:rPr>
        <w:t>Les populations civiles sont durement affectées et le Bureau de la Coordination de l’Aide Humanitaire des Nations Unies (</w:t>
      </w:r>
      <w:r w:rsidRPr="00AB1CF4">
        <w:rPr>
          <w:rFonts w:cstheme="minorHAnsi"/>
        </w:rPr>
        <w:t>OCHA</w:t>
      </w:r>
      <w:r>
        <w:rPr>
          <w:rFonts w:cstheme="minorHAnsi"/>
        </w:rPr>
        <w:t>)</w:t>
      </w:r>
      <w:r w:rsidRPr="00AB1CF4">
        <w:rPr>
          <w:rFonts w:cstheme="minorHAnsi"/>
        </w:rPr>
        <w:t xml:space="preserve"> estime qu'en 2021, 2,8 millions de Centrafricains (soit 57% de la population) auront besoin d'une aide humanitaire et d'une protection.</w:t>
      </w:r>
    </w:p>
    <w:p w14:paraId="517F4830" w14:textId="77777777" w:rsidR="00E02032" w:rsidRDefault="00E02032" w:rsidP="00E02032">
      <w:pPr>
        <w:jc w:val="both"/>
        <w:rPr>
          <w:rFonts w:cstheme="minorHAnsi"/>
        </w:rPr>
      </w:pPr>
      <w:r w:rsidRPr="00AB1CF4">
        <w:rPr>
          <w:rFonts w:cstheme="minorHAnsi"/>
          <w:b/>
          <w:bCs/>
        </w:rPr>
        <w:t>Un Centrafricain sur quatre est déplacé</w:t>
      </w:r>
      <w:r w:rsidRPr="00AB1CF4">
        <w:rPr>
          <w:rFonts w:cstheme="minorHAnsi"/>
        </w:rPr>
        <w:t> soit à l'intérieur du pays, soit dans un pays voisin, et le retour des personnes déplacées et des réfugiés s'est considérablement ralenti. Une flambée de violence a déplacé plus de 240 000 personnes dans le pays</w:t>
      </w:r>
      <w:r>
        <w:rPr>
          <w:rFonts w:cstheme="minorHAnsi"/>
        </w:rPr>
        <w:t xml:space="preserve"> dans les premiers mois de l’année</w:t>
      </w:r>
      <w:r w:rsidRPr="00AB1CF4">
        <w:rPr>
          <w:rFonts w:cstheme="minorHAnsi"/>
        </w:rPr>
        <w:t>. La moitié des personnes déplacées sont rentrées chez elles ces dernières semaines, mais</w:t>
      </w:r>
      <w:r>
        <w:rPr>
          <w:rFonts w:cstheme="minorHAnsi"/>
        </w:rPr>
        <w:t xml:space="preserve"> au mois de février</w:t>
      </w:r>
      <w:r w:rsidRPr="00AB1CF4">
        <w:rPr>
          <w:rFonts w:cstheme="minorHAnsi"/>
        </w:rPr>
        <w:t xml:space="preserve"> plus de 117 000 personnes </w:t>
      </w:r>
      <w:r>
        <w:rPr>
          <w:rFonts w:cstheme="minorHAnsi"/>
        </w:rPr>
        <w:t xml:space="preserve">étaient </w:t>
      </w:r>
      <w:r w:rsidRPr="00AB1CF4">
        <w:rPr>
          <w:rFonts w:cstheme="minorHAnsi"/>
        </w:rPr>
        <w:t>toujours déplacées à l'intérieur du pays. </w:t>
      </w:r>
      <w:r>
        <w:rPr>
          <w:rFonts w:cstheme="minorHAnsi"/>
        </w:rPr>
        <w:t>La</w:t>
      </w:r>
      <w:r w:rsidRPr="00AB1CF4">
        <w:rPr>
          <w:rFonts w:cstheme="minorHAnsi"/>
        </w:rPr>
        <w:t xml:space="preserve"> nouvelle vague de violence et de déplacement </w:t>
      </w:r>
      <w:r>
        <w:rPr>
          <w:rFonts w:cstheme="minorHAnsi"/>
        </w:rPr>
        <w:t xml:space="preserve">qui </w:t>
      </w:r>
      <w:r w:rsidRPr="00AB1CF4">
        <w:rPr>
          <w:rFonts w:cstheme="minorHAnsi"/>
        </w:rPr>
        <w:t>a commencé à la mi-décembre 2020 , avant les élections générales</w:t>
      </w:r>
      <w:r>
        <w:rPr>
          <w:rFonts w:cstheme="minorHAnsi"/>
        </w:rPr>
        <w:t xml:space="preserve"> </w:t>
      </w:r>
      <w:r w:rsidRPr="00AB1CF4">
        <w:rPr>
          <w:rFonts w:cstheme="minorHAnsi"/>
        </w:rPr>
        <w:t xml:space="preserve">s'ajoute à des décennies de violence armée, exacerbées l'année dernière par la pandémie de Covid-19, qui a porté les besoins humanitaires République </w:t>
      </w:r>
      <w:r>
        <w:rPr>
          <w:rFonts w:cstheme="minorHAnsi"/>
        </w:rPr>
        <w:t xml:space="preserve">centrafricaine </w:t>
      </w:r>
      <w:r w:rsidRPr="00AB1CF4">
        <w:rPr>
          <w:rFonts w:cstheme="minorHAnsi"/>
        </w:rPr>
        <w:t>à son apogée</w:t>
      </w:r>
      <w:r>
        <w:rPr>
          <w:rStyle w:val="FootnoteReference"/>
          <w:rFonts w:cstheme="minorHAnsi"/>
        </w:rPr>
        <w:footnoteReference w:id="5"/>
      </w:r>
      <w:r>
        <w:rPr>
          <w:rFonts w:cstheme="minorHAnsi"/>
        </w:rPr>
        <w:t>.</w:t>
      </w:r>
    </w:p>
    <w:p w14:paraId="1B013C43" w14:textId="77777777" w:rsidR="00E02032" w:rsidRPr="00AB1CF4" w:rsidRDefault="00E02032" w:rsidP="00E02032">
      <w:pPr>
        <w:jc w:val="both"/>
        <w:rPr>
          <w:rFonts w:cstheme="minorHAnsi"/>
        </w:rPr>
      </w:pPr>
      <w:r w:rsidRPr="00704D78">
        <w:rPr>
          <w:rFonts w:cstheme="minorHAnsi"/>
          <w:b/>
          <w:bCs/>
        </w:rPr>
        <w:t>Les systèmes de services sociaux ne sont pas encore entièrement instaurés dans tout le pays et la plupart des communautés n'ont pas accès aux services de base</w:t>
      </w:r>
      <w:r w:rsidRPr="00AB1CF4">
        <w:rPr>
          <w:rFonts w:cstheme="minorHAnsi"/>
        </w:rPr>
        <w:t xml:space="preserve">. L'expansion de l'accès aux services sociaux reste un défi majeur en </w:t>
      </w:r>
      <w:r w:rsidRPr="00D437FE">
        <w:rPr>
          <w:rFonts w:cstheme="minorHAnsi"/>
        </w:rPr>
        <w:t>République centrafricaine</w:t>
      </w:r>
      <w:r w:rsidRPr="00AB1CF4">
        <w:rPr>
          <w:rFonts w:cstheme="minorHAnsi"/>
        </w:rPr>
        <w:t xml:space="preserve"> en raison de l'état de délabrement des infrastructures du pays, et du manque d'accès à l'électricité, aux transports, à l'eau et à l'assainissement. La moitié du territoire reste difficile d'accès dû au manque de route bitumées et des forêts denses, en particulier dans la partie orientale du pays. La densité routière est de 1,5 kilomètres </w:t>
      </w:r>
      <w:r w:rsidRPr="00AB1CF4">
        <w:rPr>
          <w:rFonts w:cstheme="minorHAnsi"/>
        </w:rPr>
        <w:lastRenderedPageBreak/>
        <w:t>par 1000 km2, et l'accès à l'électricité se situe aux alentours de 8</w:t>
      </w:r>
      <w:r>
        <w:rPr>
          <w:rFonts w:cstheme="minorHAnsi"/>
        </w:rPr>
        <w:t xml:space="preserve">% </w:t>
      </w:r>
      <w:r w:rsidRPr="00AB1CF4">
        <w:rPr>
          <w:rFonts w:cstheme="minorHAnsi"/>
        </w:rPr>
        <w:t>au niveau national et seulement 2</w:t>
      </w:r>
      <w:r>
        <w:rPr>
          <w:rFonts w:cstheme="minorHAnsi"/>
        </w:rPr>
        <w:t>%</w:t>
      </w:r>
      <w:r w:rsidRPr="00AB1CF4">
        <w:rPr>
          <w:rFonts w:cstheme="minorHAnsi"/>
        </w:rPr>
        <w:t xml:space="preserve"> en dehors de </w:t>
      </w:r>
      <w:r>
        <w:rPr>
          <w:rFonts w:cstheme="minorHAnsi"/>
        </w:rPr>
        <w:t xml:space="preserve">la capitale </w:t>
      </w:r>
      <w:r w:rsidRPr="00AB1CF4">
        <w:rPr>
          <w:rFonts w:cstheme="minorHAnsi"/>
        </w:rPr>
        <w:t xml:space="preserve">Bangui. Environ 20 % de la population du pays vit dans la capitale Bangui, et ce chiffre pourrait passer à 85 % en combinant les régions du nord-ouest, du centre et Bangui. </w:t>
      </w:r>
    </w:p>
    <w:p w14:paraId="197190F0" w14:textId="1A8EEED3" w:rsidR="00E02032" w:rsidRPr="00AB1CF4" w:rsidRDefault="00E02032" w:rsidP="00E02032">
      <w:pPr>
        <w:pStyle w:val="Heading1"/>
        <w:rPr>
          <w:rFonts w:asciiTheme="minorHAnsi" w:hAnsiTheme="minorHAnsi" w:cstheme="minorHAnsi"/>
          <w:sz w:val="24"/>
          <w:szCs w:val="24"/>
        </w:rPr>
      </w:pPr>
      <w:bookmarkStart w:id="7" w:name="_Toc68269613"/>
      <w:r w:rsidRPr="00AB1CF4">
        <w:rPr>
          <w:rFonts w:asciiTheme="minorHAnsi" w:hAnsiTheme="minorHAnsi" w:cstheme="minorHAnsi"/>
          <w:sz w:val="24"/>
          <w:szCs w:val="24"/>
        </w:rPr>
        <w:t>2. Description des objectifs du Projet Capital Humain</w:t>
      </w:r>
      <w:r w:rsidR="00930C5E">
        <w:rPr>
          <w:rFonts w:asciiTheme="minorHAnsi" w:hAnsiTheme="minorHAnsi" w:cstheme="minorHAnsi"/>
          <w:sz w:val="24"/>
          <w:szCs w:val="24"/>
        </w:rPr>
        <w:t xml:space="preserve"> et Autonomisation des Filles</w:t>
      </w:r>
      <w:r w:rsidRPr="00AB1CF4">
        <w:rPr>
          <w:rFonts w:asciiTheme="minorHAnsi" w:hAnsiTheme="minorHAnsi" w:cstheme="minorHAnsi"/>
          <w:sz w:val="24"/>
          <w:szCs w:val="24"/>
        </w:rPr>
        <w:t xml:space="preserve"> (Maïngo)</w:t>
      </w:r>
      <w:bookmarkEnd w:id="7"/>
    </w:p>
    <w:p w14:paraId="34D1FC50" w14:textId="77777777" w:rsidR="00E02032" w:rsidRDefault="00E02032" w:rsidP="00E02032">
      <w:pPr>
        <w:jc w:val="both"/>
        <w:rPr>
          <w:rFonts w:cstheme="minorHAnsi"/>
        </w:rPr>
      </w:pPr>
    </w:p>
    <w:p w14:paraId="76C95A95" w14:textId="3DFEE946" w:rsidR="00E02032" w:rsidRDefault="00E02032" w:rsidP="00E02032">
      <w:pPr>
        <w:jc w:val="both"/>
        <w:rPr>
          <w:rFonts w:cstheme="minorHAnsi"/>
        </w:rPr>
      </w:pPr>
      <w:r>
        <w:rPr>
          <w:rFonts w:cstheme="minorHAnsi"/>
        </w:rPr>
        <w:t>Le</w:t>
      </w:r>
      <w:r w:rsidRPr="00AB1CF4">
        <w:rPr>
          <w:rFonts w:cstheme="minorHAnsi"/>
        </w:rPr>
        <w:t xml:space="preserve"> </w:t>
      </w:r>
      <w:r w:rsidRPr="00AB1CF4">
        <w:rPr>
          <w:rFonts w:cstheme="minorHAnsi"/>
          <w:b/>
        </w:rPr>
        <w:t xml:space="preserve">Projet du </w:t>
      </w:r>
      <w:r w:rsidR="00930C5E">
        <w:rPr>
          <w:rFonts w:cstheme="minorHAnsi"/>
          <w:b/>
        </w:rPr>
        <w:t>C</w:t>
      </w:r>
      <w:r w:rsidRPr="00AB1CF4">
        <w:rPr>
          <w:rFonts w:cstheme="minorHAnsi"/>
          <w:b/>
        </w:rPr>
        <w:t xml:space="preserve">apital </w:t>
      </w:r>
      <w:r w:rsidR="00930C5E">
        <w:rPr>
          <w:rFonts w:cstheme="minorHAnsi"/>
          <w:b/>
        </w:rPr>
        <w:t>H</w:t>
      </w:r>
      <w:r w:rsidRPr="00AB1CF4">
        <w:rPr>
          <w:rFonts w:cstheme="minorHAnsi"/>
          <w:b/>
        </w:rPr>
        <w:t>umain</w:t>
      </w:r>
      <w:r w:rsidR="00930C5E">
        <w:rPr>
          <w:rFonts w:cstheme="minorHAnsi"/>
          <w:b/>
        </w:rPr>
        <w:t xml:space="preserve"> et Autonomisation des Filles</w:t>
      </w:r>
      <w:r w:rsidRPr="00AB1CF4">
        <w:rPr>
          <w:rFonts w:cstheme="minorHAnsi"/>
          <w:b/>
        </w:rPr>
        <w:t xml:space="preserve"> (Maïngo) </w:t>
      </w:r>
      <w:r w:rsidRPr="00AB1CF4">
        <w:rPr>
          <w:rFonts w:cstheme="minorHAnsi"/>
        </w:rPr>
        <w:t xml:space="preserve">est le fruit d’un partenariat stratégique avec la Banque </w:t>
      </w:r>
      <w:r>
        <w:rPr>
          <w:rFonts w:cstheme="minorHAnsi"/>
        </w:rPr>
        <w:t>M</w:t>
      </w:r>
      <w:r w:rsidRPr="00AB1CF4">
        <w:rPr>
          <w:rFonts w:cstheme="minorHAnsi"/>
        </w:rPr>
        <w:t xml:space="preserve">ondiale et le Gouvernement </w:t>
      </w:r>
      <w:r>
        <w:rPr>
          <w:rFonts w:cstheme="minorHAnsi"/>
        </w:rPr>
        <w:t xml:space="preserve">centrafricain </w:t>
      </w:r>
      <w:r w:rsidRPr="00AB1CF4">
        <w:rPr>
          <w:rFonts w:cstheme="minorHAnsi"/>
        </w:rPr>
        <w:t xml:space="preserve">dans la formation du capital humain pour l'ensemble du pays, répondant parfaitement aux objectifs du cadre de partenariat pays 2020-2023 entre la Banque mondiale et la République centrafricaine. </w:t>
      </w:r>
    </w:p>
    <w:p w14:paraId="25A4F7F2" w14:textId="77777777" w:rsidR="00E02032" w:rsidRPr="00D437FE" w:rsidRDefault="00E02032" w:rsidP="00E02032">
      <w:pPr>
        <w:jc w:val="both"/>
        <w:rPr>
          <w:rFonts w:cstheme="minorHAnsi"/>
          <w:b/>
          <w:bCs/>
        </w:rPr>
      </w:pPr>
      <w:r w:rsidRPr="00844B01">
        <w:rPr>
          <w:rFonts w:cstheme="minorHAnsi"/>
          <w:b/>
          <w:bCs/>
        </w:rPr>
        <w:t>L'autonomisation des femmes et des filles est au cœur de la formation du capital humain pour l'ensemble du pays.</w:t>
      </w:r>
    </w:p>
    <w:p w14:paraId="44C8D575" w14:textId="77777777" w:rsidR="00E02032" w:rsidRDefault="00E02032" w:rsidP="00E02032">
      <w:pPr>
        <w:jc w:val="both"/>
        <w:rPr>
          <w:rFonts w:cstheme="minorHAnsi"/>
        </w:rPr>
      </w:pPr>
      <w:r w:rsidRPr="00D437FE">
        <w:rPr>
          <w:rFonts w:cstheme="minorHAnsi"/>
        </w:rPr>
        <w:t>La conception du projet Maïngo s’inscrit dans plusieurs constats.</w:t>
      </w:r>
      <w:r>
        <w:rPr>
          <w:rFonts w:cstheme="minorHAnsi"/>
          <w:b/>
          <w:bCs/>
        </w:rPr>
        <w:t xml:space="preserve"> </w:t>
      </w:r>
      <w:r w:rsidRPr="00AB1CF4">
        <w:rPr>
          <w:rFonts w:cstheme="minorHAnsi"/>
        </w:rPr>
        <w:t>L</w:t>
      </w:r>
      <w:r>
        <w:rPr>
          <w:rFonts w:cstheme="minorHAnsi"/>
        </w:rPr>
        <w:t xml:space="preserve">e </w:t>
      </w:r>
      <w:r w:rsidRPr="00AB1CF4">
        <w:rPr>
          <w:rFonts w:cstheme="minorHAnsi"/>
        </w:rPr>
        <w:t>jeune</w:t>
      </w:r>
      <w:r>
        <w:rPr>
          <w:rFonts w:cstheme="minorHAnsi"/>
        </w:rPr>
        <w:t xml:space="preserve"> </w:t>
      </w:r>
      <w:r w:rsidRPr="00AB1CF4">
        <w:rPr>
          <w:rFonts w:cstheme="minorHAnsi"/>
        </w:rPr>
        <w:t>âge de</w:t>
      </w:r>
      <w:r>
        <w:rPr>
          <w:rFonts w:cstheme="minorHAnsi"/>
        </w:rPr>
        <w:t>s</w:t>
      </w:r>
      <w:r w:rsidRPr="00AB1CF4">
        <w:rPr>
          <w:rFonts w:cstheme="minorHAnsi"/>
        </w:rPr>
        <w:t xml:space="preserve"> mère</w:t>
      </w:r>
      <w:r>
        <w:rPr>
          <w:rFonts w:cstheme="minorHAnsi"/>
        </w:rPr>
        <w:t>s</w:t>
      </w:r>
      <w:r w:rsidRPr="00AB1CF4">
        <w:rPr>
          <w:rFonts w:cstheme="minorHAnsi"/>
        </w:rPr>
        <w:t xml:space="preserve"> est associé au risque accru d’accoucher d’enfants de faible poids à la naissance, qui connaîtront des retards de croissance et d'émaciation pendant la petite enfance et l'enfance. Le taux de mortalité des enfants </w:t>
      </w:r>
      <w:r>
        <w:rPr>
          <w:rFonts w:cstheme="minorHAnsi"/>
        </w:rPr>
        <w:t xml:space="preserve">en </w:t>
      </w:r>
      <w:r w:rsidRPr="00D437FE">
        <w:rPr>
          <w:rFonts w:cstheme="minorHAnsi"/>
        </w:rPr>
        <w:t>République centrafricaine</w:t>
      </w:r>
      <w:r w:rsidRPr="00AB1CF4">
        <w:rPr>
          <w:rFonts w:cstheme="minorHAnsi"/>
        </w:rPr>
        <w:t xml:space="preserve"> est </w:t>
      </w:r>
      <w:r>
        <w:rPr>
          <w:rFonts w:cstheme="minorHAnsi"/>
        </w:rPr>
        <w:t xml:space="preserve">également </w:t>
      </w:r>
      <w:r w:rsidRPr="00AB1CF4">
        <w:rPr>
          <w:rFonts w:cstheme="minorHAnsi"/>
        </w:rPr>
        <w:t>très élevé.</w:t>
      </w:r>
      <w:r>
        <w:rPr>
          <w:rFonts w:cstheme="minorHAnsi"/>
        </w:rPr>
        <w:t xml:space="preserve"> </w:t>
      </w:r>
      <w:r w:rsidRPr="00AB1CF4">
        <w:rPr>
          <w:rFonts w:cstheme="minorHAnsi"/>
        </w:rPr>
        <w:t xml:space="preserve">L'autonomisation des femmes et des filles augmente la probabilité de survie des enfants jusqu'à l'âge de cinq ans, car la capacité d'une mère à faire des choix éclairés et à prendre des mesures significatives a un impact direct sur la santé et le bien-être de ses enfants. L’autonomisation favorise la croissance saine des enfants en améliorant la santé de la mère et en retardant l'âge de la première grossesse. </w:t>
      </w:r>
    </w:p>
    <w:p w14:paraId="67B1BB79" w14:textId="1DC88A35" w:rsidR="00E02032" w:rsidRPr="00AB1CF4" w:rsidRDefault="00E02032" w:rsidP="00E02032">
      <w:pPr>
        <w:jc w:val="both"/>
        <w:rPr>
          <w:rFonts w:cstheme="minorHAnsi"/>
        </w:rPr>
      </w:pPr>
      <w:r>
        <w:rPr>
          <w:rFonts w:cstheme="minorHAnsi"/>
        </w:rPr>
        <w:t>L</w:t>
      </w:r>
      <w:r w:rsidRPr="00AB1CF4">
        <w:rPr>
          <w:rFonts w:cstheme="minorHAnsi"/>
        </w:rPr>
        <w:t xml:space="preserve">’objectif de développement du projet est de : </w:t>
      </w:r>
      <w:r w:rsidR="00AA2DD2" w:rsidRPr="00985591">
        <w:rPr>
          <w:rFonts w:cstheme="minorHAnsi"/>
          <w:b/>
          <w:bCs/>
        </w:rPr>
        <w:t>d’améliorer l'accès aux services de santé essentiels, à l'éducation et aux opportunités d'emploi qui autonomisent les femmes et les adolescentes dans les zones ciblées de la République Centrafricaine.</w:t>
      </w:r>
    </w:p>
    <w:p w14:paraId="28720639" w14:textId="6D0E0F49" w:rsidR="00E02032" w:rsidRDefault="00E02032" w:rsidP="00E02032">
      <w:pPr>
        <w:spacing w:before="100" w:beforeAutospacing="1" w:after="100" w:afterAutospacing="1"/>
        <w:contextualSpacing/>
        <w:jc w:val="both"/>
        <w:rPr>
          <w:rFonts w:cstheme="minorHAnsi"/>
          <w:bCs/>
        </w:rPr>
      </w:pPr>
      <w:r w:rsidRPr="00AB1CF4">
        <w:rPr>
          <w:rFonts w:cstheme="minorHAnsi"/>
          <w:color w:val="00000A"/>
        </w:rPr>
        <w:t xml:space="preserve">Ce nouveau </w:t>
      </w:r>
      <w:r>
        <w:rPr>
          <w:rFonts w:cstheme="minorHAnsi"/>
          <w:color w:val="00000A"/>
        </w:rPr>
        <w:t>p</w:t>
      </w:r>
      <w:r w:rsidRPr="00AB1CF4">
        <w:rPr>
          <w:rFonts w:cstheme="minorHAnsi"/>
          <w:color w:val="00000A"/>
        </w:rPr>
        <w:t>rojet contribuera à a</w:t>
      </w:r>
      <w:r w:rsidRPr="00AB1CF4">
        <w:rPr>
          <w:rFonts w:cstheme="minorHAnsi"/>
        </w:rPr>
        <w:t xml:space="preserve">méliorer l'accès à un ensemble intégré de services de santé essentiels, d'éducation et de formation professionnelle qui bénéficieront aux adolescentes, aux femmes et à leurs enfants </w:t>
      </w:r>
      <w:r>
        <w:rPr>
          <w:rFonts w:cstheme="minorHAnsi"/>
        </w:rPr>
        <w:t xml:space="preserve">leur permettant </w:t>
      </w:r>
      <w:r w:rsidRPr="00AB1CF4">
        <w:rPr>
          <w:rFonts w:cstheme="minorHAnsi"/>
        </w:rPr>
        <w:t>de s'autonomiser dans des zones ciblées de la République centrafricaine</w:t>
      </w:r>
      <w:r>
        <w:rPr>
          <w:rFonts w:cstheme="minorHAnsi"/>
        </w:rPr>
        <w:t xml:space="preserve">. La période </w:t>
      </w:r>
      <w:r w:rsidRPr="00AB1CF4">
        <w:rPr>
          <w:rFonts w:cstheme="minorHAnsi"/>
          <w:bCs/>
        </w:rPr>
        <w:t xml:space="preserve">couverte par le </w:t>
      </w:r>
      <w:r>
        <w:rPr>
          <w:rFonts w:cstheme="minorHAnsi"/>
          <w:bCs/>
        </w:rPr>
        <w:t>p</w:t>
      </w:r>
      <w:r w:rsidRPr="00AB1CF4">
        <w:rPr>
          <w:rFonts w:cstheme="minorHAnsi"/>
          <w:bCs/>
        </w:rPr>
        <w:t>rojet </w:t>
      </w:r>
      <w:r>
        <w:rPr>
          <w:rFonts w:cstheme="minorHAnsi"/>
          <w:bCs/>
        </w:rPr>
        <w:t>est de</w:t>
      </w:r>
      <w:r w:rsidRPr="00AB1CF4">
        <w:rPr>
          <w:rFonts w:cstheme="minorHAnsi"/>
          <w:bCs/>
        </w:rPr>
        <w:t xml:space="preserve"> 202</w:t>
      </w:r>
      <w:r w:rsidR="008E4C96">
        <w:rPr>
          <w:rFonts w:cstheme="minorHAnsi"/>
          <w:bCs/>
        </w:rPr>
        <w:t>2</w:t>
      </w:r>
      <w:r>
        <w:rPr>
          <w:rFonts w:cstheme="minorHAnsi"/>
          <w:bCs/>
        </w:rPr>
        <w:t xml:space="preserve"> à </w:t>
      </w:r>
      <w:r w:rsidRPr="00AB1CF4">
        <w:rPr>
          <w:rFonts w:cstheme="minorHAnsi"/>
          <w:bCs/>
        </w:rPr>
        <w:t>202</w:t>
      </w:r>
      <w:r w:rsidR="008E4C96">
        <w:rPr>
          <w:rFonts w:cstheme="minorHAnsi"/>
          <w:bCs/>
        </w:rPr>
        <w:t>7</w:t>
      </w:r>
      <w:r w:rsidRPr="00AB1CF4">
        <w:rPr>
          <w:rFonts w:cstheme="minorHAnsi"/>
          <w:bCs/>
        </w:rPr>
        <w:t xml:space="preserve"> </w:t>
      </w:r>
      <w:r>
        <w:rPr>
          <w:rFonts w:cstheme="minorHAnsi"/>
          <w:bCs/>
        </w:rPr>
        <w:t>pour un</w:t>
      </w:r>
      <w:r w:rsidRPr="00AB1CF4">
        <w:rPr>
          <w:rFonts w:cstheme="minorHAnsi"/>
          <w:bCs/>
        </w:rPr>
        <w:t xml:space="preserve"> montant de </w:t>
      </w:r>
      <w:r>
        <w:rPr>
          <w:rFonts w:cstheme="minorHAnsi"/>
          <w:bCs/>
        </w:rPr>
        <w:t>US</w:t>
      </w:r>
      <w:r w:rsidRPr="00AB1CF4">
        <w:rPr>
          <w:rFonts w:cstheme="minorHAnsi"/>
          <w:bCs/>
        </w:rPr>
        <w:t>$ 50 M.</w:t>
      </w:r>
    </w:p>
    <w:p w14:paraId="39657673" w14:textId="77777777" w:rsidR="00E02032" w:rsidRPr="00704D78" w:rsidRDefault="00E02032" w:rsidP="00E02032">
      <w:pPr>
        <w:spacing w:before="100" w:beforeAutospacing="1" w:after="100" w:afterAutospacing="1"/>
        <w:contextualSpacing/>
        <w:jc w:val="both"/>
        <w:rPr>
          <w:rFonts w:cstheme="minorHAnsi"/>
          <w:bCs/>
        </w:rPr>
      </w:pPr>
    </w:p>
    <w:p w14:paraId="047DE708" w14:textId="77777777" w:rsidR="00E02032" w:rsidRPr="00AB1CF4" w:rsidRDefault="00E02032" w:rsidP="00E02032">
      <w:pPr>
        <w:jc w:val="both"/>
        <w:rPr>
          <w:rFonts w:cstheme="minorHAnsi"/>
        </w:rPr>
      </w:pPr>
      <w:r w:rsidRPr="00AB1CF4">
        <w:rPr>
          <w:rFonts w:cstheme="minorHAnsi"/>
        </w:rPr>
        <w:t>L’objectif du projet est de favoriser l'autonomisation des femmes centrafricaines en améliorant l'accès des adolescentes, des femmes et de leurs enfants à un ensemble intégré de services de santé essentiels, d'éducation et de formation professionnelle dans des zones ciblées.</w:t>
      </w:r>
    </w:p>
    <w:p w14:paraId="6D14DBCB" w14:textId="77777777" w:rsidR="00E02032" w:rsidRPr="00AB1CF4" w:rsidRDefault="00E02032" w:rsidP="00E02032">
      <w:pPr>
        <w:widowControl w:val="0"/>
        <w:autoSpaceDE w:val="0"/>
        <w:autoSpaceDN w:val="0"/>
        <w:adjustRightInd w:val="0"/>
        <w:rPr>
          <w:rFonts w:cstheme="minorHAnsi"/>
          <w:bCs/>
          <w:color w:val="00000A"/>
        </w:rPr>
      </w:pPr>
      <w:r w:rsidRPr="00AB1CF4">
        <w:rPr>
          <w:rFonts w:cstheme="minorHAnsi"/>
          <w:bCs/>
          <w:color w:val="00000A"/>
        </w:rPr>
        <w:t xml:space="preserve">Le Projet est constitué de </w:t>
      </w:r>
      <w:r>
        <w:rPr>
          <w:rFonts w:cstheme="minorHAnsi"/>
          <w:bCs/>
          <w:color w:val="00000A"/>
        </w:rPr>
        <w:t xml:space="preserve">trois </w:t>
      </w:r>
      <w:r w:rsidRPr="00AB1CF4">
        <w:rPr>
          <w:rFonts w:cstheme="minorHAnsi"/>
          <w:bCs/>
          <w:color w:val="00000A"/>
        </w:rPr>
        <w:t xml:space="preserve">composantes : </w:t>
      </w:r>
    </w:p>
    <w:p w14:paraId="5440FC4C" w14:textId="4F6D5EC7" w:rsidR="00E02032" w:rsidRPr="006522A4" w:rsidRDefault="00E02032" w:rsidP="00E02032">
      <w:pPr>
        <w:pStyle w:val="ListParagraph"/>
        <w:numPr>
          <w:ilvl w:val="0"/>
          <w:numId w:val="21"/>
        </w:numPr>
        <w:jc w:val="both"/>
        <w:rPr>
          <w:b/>
        </w:rPr>
      </w:pPr>
      <w:r w:rsidRPr="006522A4">
        <w:rPr>
          <w:i/>
          <w:iCs/>
        </w:rPr>
        <w:t>Composante 1</w:t>
      </w:r>
      <w:r w:rsidRPr="00AB1CF4">
        <w:t xml:space="preserve"> : Création d’espaces sûrs pour cibler les femmes et les adolescentes avec des services communautaires intégrés. </w:t>
      </w:r>
    </w:p>
    <w:p w14:paraId="5C1BCBB2" w14:textId="31D9CA7E" w:rsidR="00E02032" w:rsidRPr="006522A4" w:rsidRDefault="00E02032" w:rsidP="00E02032">
      <w:pPr>
        <w:pStyle w:val="ListParagraph"/>
        <w:numPr>
          <w:ilvl w:val="0"/>
          <w:numId w:val="21"/>
        </w:numPr>
        <w:jc w:val="both"/>
        <w:rPr>
          <w:b/>
        </w:rPr>
      </w:pPr>
      <w:r w:rsidRPr="006522A4">
        <w:rPr>
          <w:i/>
          <w:iCs/>
        </w:rPr>
        <w:t>Composante 2</w:t>
      </w:r>
      <w:r w:rsidRPr="00AB1CF4">
        <w:t xml:space="preserve"> : </w:t>
      </w:r>
      <w:r w:rsidR="003F18AB" w:rsidRPr="00645E5B">
        <w:t>Accroître l'accès aux systèmes qui améliorent la santé, l'éducation et les opportunités d'emploi des femmes et des filles</w:t>
      </w:r>
      <w:r w:rsidRPr="00AB1CF4">
        <w:t xml:space="preserve">. </w:t>
      </w:r>
    </w:p>
    <w:p w14:paraId="5D4860A8" w14:textId="0B3A0138" w:rsidR="00121140" w:rsidRPr="007444D7" w:rsidRDefault="00E02032" w:rsidP="00E02032">
      <w:pPr>
        <w:pStyle w:val="ListParagraph"/>
        <w:numPr>
          <w:ilvl w:val="0"/>
          <w:numId w:val="21"/>
        </w:numPr>
        <w:jc w:val="both"/>
        <w:rPr>
          <w:b/>
        </w:rPr>
      </w:pPr>
      <w:r w:rsidRPr="006522A4">
        <w:rPr>
          <w:i/>
          <w:iCs/>
        </w:rPr>
        <w:t>Composante 3</w:t>
      </w:r>
      <w:r w:rsidRPr="00AB1CF4">
        <w:t xml:space="preserve"> : </w:t>
      </w:r>
      <w:r w:rsidR="008932F7">
        <w:t>R</w:t>
      </w:r>
      <w:r w:rsidR="008932F7" w:rsidRPr="00251666">
        <w:t>enforcement des capacités nationales et information publique positive promouvant l'autonomisation des femmes et des filles</w:t>
      </w:r>
      <w:r w:rsidRPr="00AB1CF4">
        <w:t>.</w:t>
      </w:r>
    </w:p>
    <w:p w14:paraId="31624E92" w14:textId="5F5BBC01" w:rsidR="00E02032" w:rsidRPr="006522A4" w:rsidRDefault="00E02032" w:rsidP="007444D7">
      <w:pPr>
        <w:pStyle w:val="ListParagraph"/>
        <w:jc w:val="both"/>
        <w:rPr>
          <w:b/>
        </w:rPr>
      </w:pPr>
      <w:r w:rsidRPr="00AB1CF4">
        <w:t xml:space="preserve"> </w:t>
      </w:r>
    </w:p>
    <w:p w14:paraId="31125786" w14:textId="77777777" w:rsidR="00121140" w:rsidRPr="007444D7" w:rsidRDefault="00121140" w:rsidP="007444D7">
      <w:pPr>
        <w:ind w:left="360"/>
        <w:jc w:val="both"/>
        <w:rPr>
          <w:rFonts w:cstheme="minorHAnsi"/>
          <w:iCs/>
        </w:rPr>
      </w:pPr>
      <w:r w:rsidRPr="005B4584">
        <w:rPr>
          <w:rFonts w:cstheme="minorHAnsi"/>
          <w:bCs/>
          <w:iCs/>
        </w:rPr>
        <w:t>Le p</w:t>
      </w:r>
      <w:r w:rsidRPr="007444D7">
        <w:rPr>
          <w:rFonts w:cstheme="minorHAnsi"/>
          <w:bCs/>
          <w:iCs/>
        </w:rPr>
        <w:t>rojet couvre Bangui et huit (8) régions du pays.</w:t>
      </w:r>
      <w:r w:rsidRPr="00A70769">
        <w:t xml:space="preserve"> </w:t>
      </w:r>
      <w:r w:rsidRPr="005B4584">
        <w:rPr>
          <w:rFonts w:cstheme="minorHAnsi"/>
          <w:bCs/>
          <w:iCs/>
        </w:rPr>
        <w:t>Compte tenu du caractère changeant de la situation sécuritaire en RCA, le phasage des préfectures peut être sujet à changement, tout comme les préfectures sélectionnées pour un déploiement ultérieur</w:t>
      </w:r>
      <w:r w:rsidRPr="007444D7">
        <w:rPr>
          <w:rFonts w:cstheme="minorHAnsi"/>
          <w:bCs/>
          <w:iCs/>
        </w:rPr>
        <w:t xml:space="preserve">. Les principaux bénéficiaires du projet sont les filles et les jeunes femmes âgées de 10 à 24 ans. </w:t>
      </w:r>
      <w:r w:rsidRPr="007444D7">
        <w:rPr>
          <w:bCs/>
        </w:rPr>
        <w:t>Les bénéficiaires secondaires du projet sont les jeunes hommes, ainsi que toutes les femmes en âge de procréer et leurs enfants</w:t>
      </w:r>
      <w:r w:rsidRPr="007444D7">
        <w:rPr>
          <w:rFonts w:cstheme="minorHAnsi"/>
          <w:iCs/>
        </w:rPr>
        <w:t>.</w:t>
      </w:r>
    </w:p>
    <w:p w14:paraId="28D468EE" w14:textId="77777777" w:rsidR="00E02032" w:rsidRPr="00844B01" w:rsidRDefault="00E02032" w:rsidP="00E02032">
      <w:pPr>
        <w:rPr>
          <w:rFonts w:eastAsia="Calibri" w:cstheme="minorHAnsi"/>
        </w:rPr>
      </w:pPr>
    </w:p>
    <w:p w14:paraId="77CA47A7" w14:textId="77777777" w:rsidR="00E02032" w:rsidRDefault="00E02032" w:rsidP="00E02032">
      <w:pPr>
        <w:pStyle w:val="Heading1"/>
        <w:rPr>
          <w:rFonts w:asciiTheme="minorHAnsi" w:hAnsiTheme="minorHAnsi" w:cstheme="minorHAnsi"/>
          <w:sz w:val="24"/>
          <w:szCs w:val="24"/>
        </w:rPr>
      </w:pPr>
      <w:bookmarkStart w:id="8" w:name="_Toc68269614"/>
      <w:r w:rsidRPr="00AB1CF4">
        <w:rPr>
          <w:rFonts w:asciiTheme="minorHAnsi" w:hAnsiTheme="minorHAnsi" w:cstheme="minorHAnsi"/>
          <w:sz w:val="24"/>
          <w:szCs w:val="24"/>
        </w:rPr>
        <w:t>3. Objectifs de l’Évaluation des risques VBG, EAS/HS du projet</w:t>
      </w:r>
      <w:bookmarkEnd w:id="8"/>
    </w:p>
    <w:p w14:paraId="262BBFAA" w14:textId="77777777" w:rsidR="00E02032" w:rsidRPr="00DE7167" w:rsidRDefault="00E02032" w:rsidP="00E02032"/>
    <w:p w14:paraId="7764A91B" w14:textId="77777777" w:rsidR="00E02032" w:rsidRPr="00AB1CF4" w:rsidRDefault="00E02032" w:rsidP="00E02032">
      <w:pPr>
        <w:jc w:val="both"/>
        <w:rPr>
          <w:rFonts w:cstheme="minorHAnsi"/>
        </w:rPr>
      </w:pPr>
      <w:r w:rsidRPr="00AB1CF4">
        <w:rPr>
          <w:rFonts w:cstheme="minorHAnsi"/>
        </w:rPr>
        <w:t>« L’</w:t>
      </w:r>
      <w:r>
        <w:rPr>
          <w:rFonts w:cstheme="minorHAnsi"/>
        </w:rPr>
        <w:t>E</w:t>
      </w:r>
      <w:r w:rsidRPr="00AB1CF4">
        <w:rPr>
          <w:rFonts w:cstheme="minorHAnsi"/>
        </w:rPr>
        <w:t xml:space="preserve">xploitation et les </w:t>
      </w:r>
      <w:r>
        <w:rPr>
          <w:rFonts w:cstheme="minorHAnsi"/>
        </w:rPr>
        <w:t>A</w:t>
      </w:r>
      <w:r w:rsidRPr="00AB1CF4">
        <w:rPr>
          <w:rFonts w:cstheme="minorHAnsi"/>
        </w:rPr>
        <w:t xml:space="preserve">tteintes </w:t>
      </w:r>
      <w:r>
        <w:rPr>
          <w:rFonts w:cstheme="minorHAnsi"/>
        </w:rPr>
        <w:t>S</w:t>
      </w:r>
      <w:r w:rsidRPr="00AB1CF4">
        <w:rPr>
          <w:rFonts w:cstheme="minorHAnsi"/>
        </w:rPr>
        <w:t xml:space="preserve">exuelles </w:t>
      </w:r>
      <w:r>
        <w:rPr>
          <w:rFonts w:cstheme="minorHAnsi"/>
        </w:rPr>
        <w:t xml:space="preserve">(EAS) </w:t>
      </w:r>
      <w:r w:rsidRPr="00AB1CF4">
        <w:rPr>
          <w:rFonts w:cstheme="minorHAnsi"/>
        </w:rPr>
        <w:t xml:space="preserve">ainsi que le </w:t>
      </w:r>
      <w:r>
        <w:rPr>
          <w:rFonts w:cstheme="minorHAnsi"/>
        </w:rPr>
        <w:t>H</w:t>
      </w:r>
      <w:r w:rsidRPr="00AB1CF4">
        <w:rPr>
          <w:rFonts w:cstheme="minorHAnsi"/>
        </w:rPr>
        <w:t xml:space="preserve">arcèlement </w:t>
      </w:r>
      <w:r>
        <w:rPr>
          <w:rFonts w:cstheme="minorHAnsi"/>
        </w:rPr>
        <w:t>S</w:t>
      </w:r>
      <w:r w:rsidRPr="00AB1CF4">
        <w:rPr>
          <w:rFonts w:cstheme="minorHAnsi"/>
        </w:rPr>
        <w:t xml:space="preserve">exuel </w:t>
      </w:r>
      <w:r>
        <w:rPr>
          <w:rFonts w:cstheme="minorHAnsi"/>
        </w:rPr>
        <w:t xml:space="preserve">(HS) </w:t>
      </w:r>
      <w:r w:rsidRPr="00AB1CF4">
        <w:rPr>
          <w:rFonts w:cstheme="minorHAnsi"/>
        </w:rPr>
        <w:t>sont des manifestations de violence sexiste</w:t>
      </w:r>
      <w:r>
        <w:rPr>
          <w:rFonts w:cstheme="minorHAnsi"/>
        </w:rPr>
        <w:t xml:space="preserve"> (ou VBG)</w:t>
      </w:r>
      <w:r w:rsidRPr="00AB1CF4">
        <w:rPr>
          <w:rFonts w:cstheme="minorHAnsi"/>
        </w:rPr>
        <w:t xml:space="preserve">. Il existe quatre grandes catégories de violences sexistes qui peuvent être exacerbées par des opérations de financement de projets d’investissement de la Banque mondiale comportant de grands travaux de génie civil. (…) </w:t>
      </w:r>
      <w:r w:rsidRPr="003E0529">
        <w:rPr>
          <w:rFonts w:cstheme="minorHAnsi"/>
          <w:b/>
          <w:bCs/>
        </w:rPr>
        <w:t>l’exploitation et les atteintes sexuelles ainsi que le harcèlement sexuel au travail sont des types de violence sexiste qui sont le plus susceptibles de se produire dans des opérations de FPI ou d’être exacerbés par ces dernières</w:t>
      </w:r>
      <w:r w:rsidRPr="00AB1CF4">
        <w:rPr>
          <w:rFonts w:cstheme="minorHAnsi"/>
        </w:rPr>
        <w:t> »</w:t>
      </w:r>
      <w:r w:rsidRPr="00AB1CF4">
        <w:rPr>
          <w:rStyle w:val="FootnoteReference"/>
          <w:rFonts w:cstheme="minorHAnsi"/>
        </w:rPr>
        <w:footnoteReference w:id="6"/>
      </w:r>
      <w:r w:rsidRPr="00AB1CF4">
        <w:rPr>
          <w:rFonts w:cstheme="minorHAnsi"/>
        </w:rPr>
        <w:t>.</w:t>
      </w:r>
    </w:p>
    <w:p w14:paraId="6BB87488" w14:textId="77777777" w:rsidR="00E02032" w:rsidRPr="00AB1CF4" w:rsidRDefault="00E02032" w:rsidP="00E02032">
      <w:pPr>
        <w:pStyle w:val="IntenseQuote"/>
        <w:rPr>
          <w:rFonts w:cstheme="minorHAnsi"/>
        </w:rPr>
      </w:pPr>
      <w:r>
        <w:rPr>
          <w:rFonts w:cstheme="minorHAnsi"/>
        </w:rPr>
        <w:t>Graphique 1</w:t>
      </w:r>
      <w:r w:rsidRPr="00AB1CF4">
        <w:rPr>
          <w:rFonts w:cstheme="minorHAnsi"/>
        </w:rPr>
        <w:t xml:space="preserve"> : Types de violences sexistes susceptibles d’être exacerbées par des opérations de FPI comportant de grands travaux de génie civil </w:t>
      </w:r>
    </w:p>
    <w:p w14:paraId="1E5B6BD6" w14:textId="77777777" w:rsidR="00E02032" w:rsidRPr="00AB1CF4" w:rsidRDefault="00E02032" w:rsidP="00E02032">
      <w:pPr>
        <w:jc w:val="center"/>
        <w:rPr>
          <w:rFonts w:cstheme="minorHAnsi"/>
        </w:rPr>
      </w:pPr>
      <w:r w:rsidRPr="00AB1CF4">
        <w:rPr>
          <w:rFonts w:cstheme="minorHAnsi"/>
          <w:noProof/>
          <w:lang w:eastAsia="fr-FR"/>
        </w:rPr>
        <w:drawing>
          <wp:inline distT="0" distB="0" distL="0" distR="0" wp14:anchorId="461CA461" wp14:editId="53DAFF05">
            <wp:extent cx="4668520" cy="3225800"/>
            <wp:effectExtent l="0" t="0" r="5080" b="0"/>
            <wp:docPr id="1" name="Picture 2" descr="A screenshot of a cell phone&#10;&#10;Description automatically generated">
              <a:extLst xmlns:a="http://schemas.openxmlformats.org/drawingml/2006/main">
                <a:ext uri="{FF2B5EF4-FFF2-40B4-BE49-F238E27FC236}">
                  <a16:creationId xmlns:a16="http://schemas.microsoft.com/office/drawing/2014/main" id="{A848ECC1-19BB-7F4E-A2C2-2B6D312F82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screenshot of a cell phone&#10;&#10;Description automatically generated">
                      <a:extLst>
                        <a:ext uri="{FF2B5EF4-FFF2-40B4-BE49-F238E27FC236}">
                          <a16:creationId xmlns:a16="http://schemas.microsoft.com/office/drawing/2014/main" id="{A848ECC1-19BB-7F4E-A2C2-2B6D312F8272}"/>
                        </a:ext>
                      </a:extLst>
                    </pic:cNvPr>
                    <pic:cNvPicPr>
                      <a:picLocks noChangeAspect="1"/>
                    </pic:cNvPicPr>
                  </pic:nvPicPr>
                  <pic:blipFill rotWithShape="1">
                    <a:blip r:embed="rId10"/>
                    <a:srcRect l="9575" t="11123" r="9682" b="3785"/>
                    <a:stretch/>
                  </pic:blipFill>
                  <pic:spPr bwMode="auto">
                    <a:xfrm>
                      <a:off x="0" y="0"/>
                      <a:ext cx="4668520" cy="3225800"/>
                    </a:xfrm>
                    <a:prstGeom prst="rect">
                      <a:avLst/>
                    </a:prstGeom>
                    <a:ln>
                      <a:noFill/>
                    </a:ln>
                    <a:extLst>
                      <a:ext uri="{53640926-AAD7-44D8-BBD7-CCE9431645EC}">
                        <a14:shadowObscured xmlns:a14="http://schemas.microsoft.com/office/drawing/2010/main"/>
                      </a:ext>
                    </a:extLst>
                  </pic:spPr>
                </pic:pic>
              </a:graphicData>
            </a:graphic>
          </wp:inline>
        </w:drawing>
      </w:r>
    </w:p>
    <w:p w14:paraId="3444AFE8" w14:textId="77777777" w:rsidR="00E02032" w:rsidRPr="00AB1CF4" w:rsidRDefault="00E02032" w:rsidP="00E02032">
      <w:pPr>
        <w:jc w:val="both"/>
        <w:rPr>
          <w:rFonts w:cstheme="minorHAnsi"/>
          <w:b/>
          <w:bCs/>
        </w:rPr>
      </w:pPr>
      <w:r w:rsidRPr="00AB1CF4">
        <w:rPr>
          <w:rFonts w:cstheme="minorHAnsi"/>
          <w:b/>
          <w:bCs/>
        </w:rPr>
        <w:t xml:space="preserve">D’une part, il convient d’évaluer les risques de VBG et plus spécifiquement d’EAS et d’HS que pourraient présenter les activités du projet, de définir et de mettre en œuvre des mesures d’atténuation visant à atténuer ces risques. </w:t>
      </w:r>
    </w:p>
    <w:p w14:paraId="4A1D35D7" w14:textId="77777777" w:rsidR="00E02032" w:rsidRPr="00AB1CF4" w:rsidRDefault="00E02032" w:rsidP="00E02032">
      <w:pPr>
        <w:jc w:val="both"/>
        <w:rPr>
          <w:rFonts w:cstheme="minorHAnsi"/>
          <w:iCs/>
        </w:rPr>
      </w:pPr>
      <w:r w:rsidRPr="00AB1CF4">
        <w:rPr>
          <w:rFonts w:cstheme="minorHAnsi"/>
          <w:iCs/>
        </w:rPr>
        <w:t xml:space="preserve">L’objectif général de cette évaluation des risques est d’analyser dans quelle mesure les composantes et activités du projet sont susceptibles de générer ou exacerber certaines formes de VBG, et notamment les EAS et HS. </w:t>
      </w:r>
    </w:p>
    <w:p w14:paraId="5DA75BC9" w14:textId="77777777" w:rsidR="00E02032" w:rsidRPr="003E0529" w:rsidRDefault="00E02032" w:rsidP="00E02032">
      <w:pPr>
        <w:jc w:val="both"/>
        <w:rPr>
          <w:rFonts w:cstheme="minorHAnsi"/>
          <w:b/>
          <w:bCs/>
        </w:rPr>
      </w:pPr>
      <w:r w:rsidRPr="003E0529">
        <w:rPr>
          <w:rFonts w:cstheme="minorHAnsi"/>
          <w:b/>
          <w:bCs/>
        </w:rPr>
        <w:lastRenderedPageBreak/>
        <w:t>D’autre part, l’évaluation devra prendre en compte l’évaluation des capacités nationales et locales permettant de prévenir les VBG, les EAS et HS et de répondre à celle-ci, y compris par une offre de services sûrs et éthiques aux survivants de ces violations.</w:t>
      </w:r>
    </w:p>
    <w:p w14:paraId="78791053" w14:textId="77777777" w:rsidR="00E02032" w:rsidRPr="00844B01" w:rsidRDefault="00E02032" w:rsidP="00E02032">
      <w:pPr>
        <w:jc w:val="both"/>
        <w:rPr>
          <w:rFonts w:cstheme="minorHAnsi"/>
        </w:rPr>
      </w:pPr>
      <w:r w:rsidRPr="00844B01">
        <w:rPr>
          <w:rFonts w:cstheme="minorHAnsi"/>
        </w:rPr>
        <w:t>Les objectifs spécifiques de l’évaluation incluent :</w:t>
      </w:r>
    </w:p>
    <w:p w14:paraId="577425FB" w14:textId="77777777" w:rsidR="00E02032" w:rsidRPr="00AB1CF4" w:rsidRDefault="00E02032" w:rsidP="00E02032">
      <w:pPr>
        <w:pStyle w:val="ListParagraph"/>
        <w:numPr>
          <w:ilvl w:val="0"/>
          <w:numId w:val="16"/>
        </w:numPr>
        <w:jc w:val="both"/>
        <w:rPr>
          <w:rFonts w:cstheme="minorHAnsi"/>
        </w:rPr>
      </w:pPr>
      <w:r w:rsidRPr="00AB1CF4">
        <w:rPr>
          <w:rFonts w:cstheme="minorHAnsi"/>
        </w:rPr>
        <w:t xml:space="preserve">Identification et analyse des risques d’aggravation de la violence dans le cadre du projet ; </w:t>
      </w:r>
    </w:p>
    <w:p w14:paraId="1DE1E255" w14:textId="77777777" w:rsidR="00E02032" w:rsidRPr="00AB1CF4" w:rsidRDefault="00E02032" w:rsidP="00E02032">
      <w:pPr>
        <w:pStyle w:val="ListParagraph"/>
        <w:numPr>
          <w:ilvl w:val="0"/>
          <w:numId w:val="16"/>
        </w:numPr>
        <w:jc w:val="both"/>
        <w:rPr>
          <w:rFonts w:cstheme="minorHAnsi"/>
        </w:rPr>
      </w:pPr>
      <w:r w:rsidRPr="00AB1CF4">
        <w:rPr>
          <w:rFonts w:cstheme="minorHAnsi"/>
        </w:rPr>
        <w:t xml:space="preserve">Revue des capacités locales permettant de prévenir la violence sexiste et de répondre à celle-ci dans les zones de mise en œuvre des activités du projet ; </w:t>
      </w:r>
    </w:p>
    <w:p w14:paraId="7DB489AD" w14:textId="77777777" w:rsidR="00E02032" w:rsidRPr="00AB1CF4" w:rsidRDefault="00E02032" w:rsidP="00E02032">
      <w:pPr>
        <w:pStyle w:val="ListParagraph"/>
        <w:numPr>
          <w:ilvl w:val="0"/>
          <w:numId w:val="16"/>
        </w:numPr>
        <w:jc w:val="both"/>
        <w:rPr>
          <w:rFonts w:cstheme="minorHAnsi"/>
        </w:rPr>
      </w:pPr>
      <w:r w:rsidRPr="00AB1CF4">
        <w:rPr>
          <w:rFonts w:cstheme="minorHAnsi"/>
        </w:rPr>
        <w:t>Identification des mécanismes de coordination des prestataires de services aux survivants de VBG dans les zones de mise en œuvre des activités du projet ;</w:t>
      </w:r>
    </w:p>
    <w:p w14:paraId="1212B7E6" w14:textId="77777777" w:rsidR="00E02032" w:rsidRPr="00723CDC" w:rsidRDefault="00E02032" w:rsidP="00E02032">
      <w:pPr>
        <w:pStyle w:val="ListParagraph"/>
        <w:numPr>
          <w:ilvl w:val="0"/>
          <w:numId w:val="16"/>
        </w:numPr>
        <w:jc w:val="both"/>
        <w:rPr>
          <w:rFonts w:cstheme="minorHAnsi"/>
        </w:rPr>
      </w:pPr>
      <w:r w:rsidRPr="00AB1CF4">
        <w:rPr>
          <w:rFonts w:cstheme="minorHAnsi"/>
        </w:rPr>
        <w:t xml:space="preserve">Faire le repérage rapide d’associations de femmes ou tout autre partenaire capable de mettre en œuvre des actions de prévention et de prise en charge des survivants de GBV, EAS et HS pour le référencement de cas survenus dans le cadre des activités du projet.  </w:t>
      </w:r>
      <w:bookmarkStart w:id="9" w:name="_Toc53472739"/>
    </w:p>
    <w:p w14:paraId="7325A461" w14:textId="77777777" w:rsidR="00E02032" w:rsidRDefault="00E02032" w:rsidP="00E02032">
      <w:pPr>
        <w:pStyle w:val="Heading1"/>
        <w:rPr>
          <w:rFonts w:asciiTheme="minorHAnsi" w:hAnsiTheme="minorHAnsi" w:cstheme="minorHAnsi"/>
          <w:sz w:val="24"/>
          <w:szCs w:val="24"/>
        </w:rPr>
      </w:pPr>
      <w:bookmarkStart w:id="10" w:name="_Toc68269615"/>
      <w:r>
        <w:rPr>
          <w:rFonts w:asciiTheme="minorHAnsi" w:hAnsiTheme="minorHAnsi" w:cstheme="minorHAnsi"/>
          <w:sz w:val="24"/>
          <w:szCs w:val="24"/>
        </w:rPr>
        <w:t>4</w:t>
      </w:r>
      <w:r w:rsidRPr="00AB1CF4">
        <w:rPr>
          <w:rFonts w:asciiTheme="minorHAnsi" w:hAnsiTheme="minorHAnsi" w:cstheme="minorHAnsi"/>
          <w:sz w:val="24"/>
          <w:szCs w:val="24"/>
        </w:rPr>
        <w:t xml:space="preserve">. </w:t>
      </w:r>
      <w:bookmarkEnd w:id="9"/>
      <w:r>
        <w:rPr>
          <w:rFonts w:asciiTheme="minorHAnsi" w:hAnsiTheme="minorHAnsi" w:cstheme="minorHAnsi"/>
          <w:sz w:val="24"/>
          <w:szCs w:val="24"/>
        </w:rPr>
        <w:t>P</w:t>
      </w:r>
      <w:r w:rsidRPr="00AB1CF4">
        <w:rPr>
          <w:rFonts w:asciiTheme="minorHAnsi" w:hAnsiTheme="minorHAnsi" w:cstheme="minorHAnsi"/>
          <w:sz w:val="24"/>
          <w:szCs w:val="24"/>
        </w:rPr>
        <w:t xml:space="preserve">révalence </w:t>
      </w:r>
      <w:r>
        <w:rPr>
          <w:rFonts w:asciiTheme="minorHAnsi" w:hAnsiTheme="minorHAnsi" w:cstheme="minorHAnsi"/>
          <w:sz w:val="24"/>
          <w:szCs w:val="24"/>
        </w:rPr>
        <w:t xml:space="preserve">et tendances </w:t>
      </w:r>
      <w:r w:rsidRPr="00AB1CF4">
        <w:rPr>
          <w:rFonts w:asciiTheme="minorHAnsi" w:hAnsiTheme="minorHAnsi" w:cstheme="minorHAnsi"/>
          <w:sz w:val="24"/>
          <w:szCs w:val="24"/>
        </w:rPr>
        <w:t>des VBG en R</w:t>
      </w:r>
      <w:r>
        <w:rPr>
          <w:rFonts w:asciiTheme="minorHAnsi" w:hAnsiTheme="minorHAnsi" w:cstheme="minorHAnsi"/>
          <w:sz w:val="24"/>
          <w:szCs w:val="24"/>
        </w:rPr>
        <w:t>épublique centrafricaine</w:t>
      </w:r>
      <w:bookmarkEnd w:id="10"/>
      <w:r w:rsidRPr="00AB1CF4">
        <w:rPr>
          <w:rFonts w:asciiTheme="minorHAnsi" w:hAnsiTheme="minorHAnsi" w:cstheme="minorHAnsi"/>
          <w:sz w:val="24"/>
          <w:szCs w:val="24"/>
        </w:rPr>
        <w:t xml:space="preserve"> </w:t>
      </w:r>
    </w:p>
    <w:p w14:paraId="0620156D" w14:textId="77777777" w:rsidR="00E02032" w:rsidRPr="00C32506" w:rsidRDefault="00E02032" w:rsidP="00E02032"/>
    <w:p w14:paraId="17E2B790" w14:textId="77777777" w:rsidR="00E02032" w:rsidRPr="00AB1CF4" w:rsidRDefault="00E02032" w:rsidP="00E02032">
      <w:pPr>
        <w:pStyle w:val="Heading3"/>
        <w:rPr>
          <w:rFonts w:asciiTheme="minorHAnsi" w:hAnsiTheme="minorHAnsi" w:cstheme="minorHAnsi"/>
        </w:rPr>
      </w:pPr>
      <w:bookmarkStart w:id="11" w:name="_Toc68269616"/>
      <w:r>
        <w:rPr>
          <w:rFonts w:asciiTheme="minorHAnsi" w:hAnsiTheme="minorHAnsi" w:cstheme="minorHAnsi"/>
        </w:rPr>
        <w:t>4.1 Statistiques et données générales sur les VBG</w:t>
      </w:r>
      <w:bookmarkEnd w:id="11"/>
      <w:r>
        <w:rPr>
          <w:rFonts w:asciiTheme="minorHAnsi" w:hAnsiTheme="minorHAnsi" w:cstheme="minorHAnsi"/>
        </w:rPr>
        <w:t xml:space="preserve"> </w:t>
      </w:r>
    </w:p>
    <w:p w14:paraId="6FA8D54B" w14:textId="77777777" w:rsidR="00E02032" w:rsidRPr="00C32506" w:rsidRDefault="00E02032" w:rsidP="00E02032">
      <w:pPr>
        <w:pStyle w:val="NormalWeb"/>
        <w:spacing w:before="0" w:beforeAutospacing="0" w:after="0" w:afterAutospacing="0"/>
        <w:jc w:val="both"/>
        <w:rPr>
          <w:rFonts w:asciiTheme="minorHAnsi" w:hAnsiTheme="minorHAnsi" w:cstheme="minorHAnsi"/>
          <w:color w:val="000000"/>
          <w:sz w:val="27"/>
          <w:szCs w:val="27"/>
        </w:rPr>
      </w:pPr>
      <w:r w:rsidRPr="00C32506">
        <w:rPr>
          <w:rFonts w:asciiTheme="minorHAnsi" w:hAnsiTheme="minorHAnsi" w:cstheme="minorHAnsi"/>
          <w:color w:val="000000"/>
          <w:sz w:val="22"/>
          <w:szCs w:val="22"/>
        </w:rPr>
        <w:t>La</w:t>
      </w:r>
      <w:r>
        <w:rPr>
          <w:rFonts w:asciiTheme="minorHAnsi" w:hAnsiTheme="minorHAnsi" w:cstheme="minorHAnsi"/>
          <w:color w:val="000000"/>
          <w:sz w:val="22"/>
          <w:szCs w:val="22"/>
        </w:rPr>
        <w:t xml:space="preserve"> VBG</w:t>
      </w:r>
      <w:r w:rsidRPr="00C32506">
        <w:rPr>
          <w:rFonts w:asciiTheme="minorHAnsi" w:hAnsiTheme="minorHAnsi" w:cstheme="minorHAnsi"/>
          <w:color w:val="000000"/>
          <w:sz w:val="22"/>
          <w:szCs w:val="22"/>
        </w:rPr>
        <w:t xml:space="preserve"> est un fléau </w:t>
      </w:r>
      <w:r>
        <w:rPr>
          <w:rFonts w:asciiTheme="minorHAnsi" w:hAnsiTheme="minorHAnsi" w:cstheme="minorHAnsi"/>
          <w:color w:val="000000"/>
          <w:sz w:val="22"/>
          <w:szCs w:val="22"/>
        </w:rPr>
        <w:t xml:space="preserve">de grande envergure </w:t>
      </w:r>
      <w:r w:rsidRPr="00C32506">
        <w:rPr>
          <w:rFonts w:asciiTheme="minorHAnsi" w:hAnsiTheme="minorHAnsi" w:cstheme="minorHAnsi"/>
          <w:color w:val="000000"/>
          <w:sz w:val="22"/>
          <w:szCs w:val="22"/>
        </w:rPr>
        <w:t xml:space="preserve">en </w:t>
      </w:r>
      <w:r>
        <w:rPr>
          <w:rFonts w:asciiTheme="minorHAnsi" w:hAnsiTheme="minorHAnsi" w:cstheme="minorHAnsi"/>
          <w:color w:val="000000"/>
          <w:sz w:val="22"/>
          <w:szCs w:val="22"/>
        </w:rPr>
        <w:t>République centrafricaine</w:t>
      </w:r>
      <w:r w:rsidRPr="00C32506">
        <w:rPr>
          <w:rFonts w:asciiTheme="minorHAnsi" w:hAnsiTheme="minorHAnsi" w:cstheme="minorHAnsi"/>
          <w:color w:val="000000"/>
          <w:sz w:val="22"/>
          <w:szCs w:val="22"/>
        </w:rPr>
        <w:t>, avec </w:t>
      </w:r>
      <w:r w:rsidRPr="00C32506">
        <w:rPr>
          <w:rFonts w:asciiTheme="minorHAnsi" w:hAnsiTheme="minorHAnsi" w:cstheme="minorHAnsi"/>
          <w:b/>
          <w:bCs/>
          <w:color w:val="000000"/>
          <w:sz w:val="22"/>
          <w:szCs w:val="22"/>
        </w:rPr>
        <w:t>un incident signalé toutes les heures par le système d'alerte humanitaire </w:t>
      </w:r>
      <w:r w:rsidRPr="00C32506">
        <w:rPr>
          <w:rFonts w:asciiTheme="minorHAnsi" w:hAnsiTheme="minorHAnsi" w:cstheme="minorHAnsi"/>
          <w:color w:val="000000"/>
          <w:sz w:val="22"/>
          <w:szCs w:val="22"/>
        </w:rPr>
        <w:t>, qui ne couvre que 42% du pays - et ces chiffres ne sont que « le sommet de l'iceberg</w:t>
      </w:r>
      <w:bookmarkStart w:id="12" w:name="_ftnref6"/>
      <w:bookmarkEnd w:id="12"/>
      <w:r w:rsidRPr="00C32506">
        <w:rPr>
          <w:rFonts w:asciiTheme="minorHAnsi" w:hAnsiTheme="minorHAnsi" w:cstheme="minorHAnsi"/>
          <w:color w:val="000000"/>
          <w:sz w:val="22"/>
          <w:szCs w:val="22"/>
        </w:rPr>
        <w:t> »</w:t>
      </w:r>
      <w:r w:rsidRPr="00C32506">
        <w:rPr>
          <w:rStyle w:val="FootnoteReference"/>
          <w:rFonts w:asciiTheme="minorHAnsi" w:hAnsiTheme="minorHAnsi" w:cstheme="minorHAnsi"/>
          <w:color w:val="000000"/>
          <w:sz w:val="22"/>
          <w:szCs w:val="22"/>
        </w:rPr>
        <w:footnoteReference w:id="7"/>
      </w:r>
      <w:r w:rsidRPr="00C32506">
        <w:rPr>
          <w:rFonts w:asciiTheme="minorHAnsi" w:hAnsiTheme="minorHAnsi" w:cstheme="minorHAnsi"/>
          <w:color w:val="000000"/>
          <w:sz w:val="22"/>
          <w:szCs w:val="22"/>
        </w:rPr>
        <w:t>.</w:t>
      </w:r>
    </w:p>
    <w:p w14:paraId="3B0B911D" w14:textId="77777777" w:rsidR="00E02032" w:rsidRPr="00C32506" w:rsidRDefault="00E02032" w:rsidP="00E02032">
      <w:pPr>
        <w:pStyle w:val="NormalWeb"/>
        <w:spacing w:before="0" w:beforeAutospacing="0" w:after="0" w:afterAutospacing="0"/>
        <w:jc w:val="both"/>
        <w:rPr>
          <w:rFonts w:asciiTheme="minorHAnsi" w:hAnsiTheme="minorHAnsi" w:cstheme="minorHAnsi"/>
          <w:color w:val="000000"/>
          <w:sz w:val="27"/>
          <w:szCs w:val="27"/>
        </w:rPr>
      </w:pPr>
      <w:r w:rsidRPr="00C32506">
        <w:rPr>
          <w:rFonts w:asciiTheme="minorHAnsi" w:hAnsiTheme="minorHAnsi" w:cstheme="minorHAnsi"/>
          <w:color w:val="000000"/>
          <w:sz w:val="22"/>
          <w:szCs w:val="22"/>
        </w:rPr>
        <w:t> </w:t>
      </w:r>
    </w:p>
    <w:p w14:paraId="45CACA8B" w14:textId="77777777" w:rsidR="00E02032" w:rsidRPr="00C32506" w:rsidRDefault="00E02032" w:rsidP="00E02032">
      <w:pPr>
        <w:pStyle w:val="NormalWeb"/>
        <w:spacing w:before="0" w:beforeAutospacing="0" w:after="0" w:afterAutospacing="0"/>
        <w:jc w:val="both"/>
        <w:rPr>
          <w:rFonts w:asciiTheme="minorHAnsi" w:hAnsiTheme="minorHAnsi" w:cstheme="minorHAnsi"/>
          <w:color w:val="000000"/>
          <w:sz w:val="22"/>
          <w:szCs w:val="22"/>
        </w:rPr>
      </w:pPr>
      <w:r w:rsidRPr="00C32506">
        <w:rPr>
          <w:rFonts w:asciiTheme="minorHAnsi" w:hAnsiTheme="minorHAnsi" w:cstheme="minorHAnsi"/>
          <w:color w:val="000000"/>
          <w:sz w:val="22"/>
          <w:szCs w:val="22"/>
        </w:rPr>
        <w:t>Les acteurs humanitaires ont enregistré une </w:t>
      </w:r>
      <w:r w:rsidRPr="00C32506">
        <w:rPr>
          <w:rFonts w:asciiTheme="minorHAnsi" w:hAnsiTheme="minorHAnsi" w:cstheme="minorHAnsi"/>
          <w:b/>
          <w:bCs/>
          <w:color w:val="000000"/>
          <w:sz w:val="22"/>
          <w:szCs w:val="22"/>
        </w:rPr>
        <w:t>multiplication </w:t>
      </w:r>
      <w:r w:rsidRPr="00C32506">
        <w:rPr>
          <w:rFonts w:asciiTheme="minorHAnsi" w:hAnsiTheme="minorHAnsi" w:cstheme="minorHAnsi"/>
          <w:color w:val="000000"/>
          <w:sz w:val="22"/>
          <w:szCs w:val="22"/>
        </w:rPr>
        <w:t>presque par </w:t>
      </w:r>
      <w:r w:rsidRPr="00C32506">
        <w:rPr>
          <w:rFonts w:asciiTheme="minorHAnsi" w:hAnsiTheme="minorHAnsi" w:cstheme="minorHAnsi"/>
          <w:b/>
          <w:bCs/>
          <w:color w:val="000000"/>
          <w:sz w:val="22"/>
          <w:szCs w:val="22"/>
        </w:rPr>
        <w:t>deux du nombre de cas de violence contre les filles et les femmes en raison des restrictions liées à Covid -19 </w:t>
      </w:r>
      <w:r w:rsidRPr="00C32506">
        <w:rPr>
          <w:rFonts w:asciiTheme="minorHAnsi" w:hAnsiTheme="minorHAnsi" w:cstheme="minorHAnsi"/>
          <w:color w:val="000000"/>
          <w:sz w:val="22"/>
          <w:szCs w:val="22"/>
        </w:rPr>
        <w:t>. Dans toute la République centrafricaine, les enfants continuent d'être exposés à des risques. Une famille sur quatre craint pour la sécurité de ses enfants, principalement en raison de la </w:t>
      </w:r>
      <w:r w:rsidRPr="00C32506">
        <w:rPr>
          <w:rFonts w:asciiTheme="minorHAnsi" w:hAnsiTheme="minorHAnsi" w:cstheme="minorHAnsi"/>
          <w:b/>
          <w:bCs/>
          <w:color w:val="000000"/>
          <w:sz w:val="22"/>
          <w:szCs w:val="22"/>
        </w:rPr>
        <w:t>violence sexuelle </w:t>
      </w:r>
      <w:r w:rsidRPr="00C32506">
        <w:rPr>
          <w:rFonts w:asciiTheme="minorHAnsi" w:hAnsiTheme="minorHAnsi" w:cstheme="minorHAnsi"/>
          <w:color w:val="000000"/>
          <w:sz w:val="22"/>
          <w:szCs w:val="22"/>
        </w:rPr>
        <w:t>, du travail forcé et du recrutement par un groupe armé</w:t>
      </w:r>
      <w:bookmarkStart w:id="13" w:name="_ftnref7"/>
      <w:bookmarkEnd w:id="13"/>
      <w:r w:rsidRPr="00C32506">
        <w:rPr>
          <w:rStyle w:val="FootnoteReference"/>
          <w:rFonts w:asciiTheme="minorHAnsi" w:hAnsiTheme="minorHAnsi" w:cstheme="minorHAnsi"/>
          <w:color w:val="000000"/>
          <w:sz w:val="22"/>
          <w:szCs w:val="22"/>
        </w:rPr>
        <w:footnoteReference w:id="8"/>
      </w:r>
      <w:r w:rsidRPr="00C32506">
        <w:rPr>
          <w:rFonts w:asciiTheme="minorHAnsi" w:hAnsiTheme="minorHAnsi" w:cstheme="minorHAnsi"/>
          <w:color w:val="000000"/>
          <w:sz w:val="22"/>
          <w:szCs w:val="22"/>
        </w:rPr>
        <w:t xml:space="preserve">. </w:t>
      </w:r>
    </w:p>
    <w:p w14:paraId="0FC91B81" w14:textId="77777777" w:rsidR="00E02032" w:rsidRPr="00C32506" w:rsidRDefault="00E02032" w:rsidP="00E02032">
      <w:pPr>
        <w:pStyle w:val="NormalWeb"/>
        <w:spacing w:before="0" w:beforeAutospacing="0" w:after="0" w:afterAutospacing="0"/>
        <w:jc w:val="both"/>
        <w:rPr>
          <w:rFonts w:asciiTheme="minorHAnsi" w:hAnsiTheme="minorHAnsi" w:cstheme="minorHAnsi"/>
          <w:color w:val="000000"/>
          <w:sz w:val="22"/>
          <w:szCs w:val="22"/>
        </w:rPr>
      </w:pPr>
    </w:p>
    <w:p w14:paraId="3130D1A5" w14:textId="77777777" w:rsidR="00E02032" w:rsidRPr="006B25B8" w:rsidRDefault="00E02032" w:rsidP="00E02032">
      <w:pPr>
        <w:jc w:val="both"/>
        <w:rPr>
          <w:rFonts w:ascii="Calibri Light" w:eastAsia="Times New Roman" w:hAnsi="Calibri Light" w:cs="Calibri Light"/>
          <w:color w:val="000000"/>
          <w:shd w:val="clear" w:color="auto" w:fill="C9D7F1"/>
        </w:rPr>
      </w:pPr>
      <w:r w:rsidRPr="00C32506">
        <w:rPr>
          <w:rFonts w:cstheme="minorHAnsi"/>
        </w:rPr>
        <w:t xml:space="preserve">Les diverses sources mentionnées par la stratégie nationale de lutte contre les VBG en </w:t>
      </w:r>
      <w:r>
        <w:rPr>
          <w:rFonts w:cstheme="minorHAnsi"/>
          <w:color w:val="000000"/>
        </w:rPr>
        <w:t>République centrafricaine</w:t>
      </w:r>
      <w:r w:rsidRPr="00C32506">
        <w:rPr>
          <w:rFonts w:cstheme="minorHAnsi"/>
        </w:rPr>
        <w:t xml:space="preserve"> (2018-2022)</w:t>
      </w:r>
      <w:r w:rsidRPr="00C32506">
        <w:rPr>
          <w:rStyle w:val="FootnoteReference"/>
          <w:rFonts w:cstheme="minorHAnsi"/>
          <w:color w:val="000000" w:themeColor="text1"/>
        </w:rPr>
        <w:t xml:space="preserve"> </w:t>
      </w:r>
      <w:r w:rsidRPr="00C32506">
        <w:rPr>
          <w:rStyle w:val="FootnoteReference"/>
          <w:rFonts w:cstheme="minorHAnsi"/>
          <w:color w:val="000000" w:themeColor="text1"/>
          <w:lang w:val="en-US"/>
        </w:rPr>
        <w:footnoteReference w:id="9"/>
      </w:r>
      <w:r w:rsidRPr="00C32506">
        <w:rPr>
          <w:rFonts w:cstheme="minorHAnsi"/>
        </w:rPr>
        <w:t xml:space="preserve"> renvoient à diverses études conduites au cours des dernières années qui confirment </w:t>
      </w:r>
      <w:r>
        <w:rPr>
          <w:rFonts w:cstheme="minorHAnsi"/>
        </w:rPr>
        <w:t>des</w:t>
      </w:r>
      <w:r w:rsidRPr="00C32506">
        <w:rPr>
          <w:rFonts w:cstheme="minorHAnsi"/>
        </w:rPr>
        <w:t xml:space="preserve"> </w:t>
      </w:r>
      <w:r w:rsidRPr="00C32506">
        <w:rPr>
          <w:rFonts w:cstheme="minorHAnsi"/>
          <w:b/>
          <w:bCs/>
        </w:rPr>
        <w:t>niveaux très élevés de violences perpétrées contre les femmes</w:t>
      </w:r>
      <w:r>
        <w:rPr>
          <w:rFonts w:cstheme="minorHAnsi"/>
          <w:b/>
          <w:bCs/>
        </w:rPr>
        <w:t xml:space="preserve"> et les filles</w:t>
      </w:r>
      <w:r>
        <w:rPr>
          <w:rFonts w:cstheme="minorHAnsi"/>
        </w:rPr>
        <w:t xml:space="preserve"> (voir Tableau 1 ci-dessous).</w:t>
      </w:r>
      <w:r w:rsidRPr="00C32506">
        <w:rPr>
          <w:rFonts w:cstheme="minorHAnsi"/>
          <w:color w:val="000000" w:themeColor="text1"/>
        </w:rPr>
        <w:t xml:space="preserve"> </w:t>
      </w:r>
      <w:r>
        <w:rPr>
          <w:rFonts w:cstheme="minorHAnsi"/>
          <w:color w:val="000000" w:themeColor="text1"/>
        </w:rPr>
        <w:t xml:space="preserve">Ces données sont toutefois à considérer avec précaution étant donné qu’elles sont probablement en deçà des niveaux de violence réels si l’on considère les faibles taux de rapportage expliqués par le silence des survivant.es. </w:t>
      </w:r>
    </w:p>
    <w:p w14:paraId="38E7801B" w14:textId="77777777" w:rsidR="00E02032" w:rsidRPr="00AB1CF4" w:rsidRDefault="00E02032" w:rsidP="00E02032">
      <w:pPr>
        <w:pStyle w:val="IntenseQuote"/>
        <w:rPr>
          <w:rFonts w:cstheme="minorHAnsi"/>
          <w:color w:val="5B9BD5" w:themeColor="accent5"/>
        </w:rPr>
      </w:pPr>
      <w:r>
        <w:rPr>
          <w:rFonts w:cstheme="minorHAnsi"/>
        </w:rPr>
        <w:t>Tableau 1</w:t>
      </w:r>
      <w:r w:rsidRPr="00AB1CF4">
        <w:rPr>
          <w:rFonts w:cstheme="minorHAnsi"/>
        </w:rPr>
        <w:t>.  Prévalence des VBG en RCA</w:t>
      </w:r>
      <w:r w:rsidRPr="00AB1CF4">
        <w:rPr>
          <w:rStyle w:val="FootnoteReference"/>
          <w:rFonts w:cstheme="minorHAnsi"/>
          <w:color w:val="5B9BD5" w:themeColor="accent5"/>
          <w:lang w:val="en-US"/>
        </w:rPr>
        <w:footnoteReference w:id="10"/>
      </w:r>
      <w:r w:rsidRPr="00AB1CF4">
        <w:rPr>
          <w:rFonts w:cstheme="minorHAnsi"/>
          <w:color w:val="5B9BD5" w:themeColor="accent5"/>
        </w:rPr>
        <w:t xml:space="preserve"> </w:t>
      </w:r>
    </w:p>
    <w:tbl>
      <w:tblPr>
        <w:tblStyle w:val="GridTable3-Accent1"/>
        <w:tblW w:w="9351" w:type="dxa"/>
        <w:tblLayout w:type="fixed"/>
        <w:tblLook w:val="04A0" w:firstRow="1" w:lastRow="0" w:firstColumn="1" w:lastColumn="0" w:noHBand="0" w:noVBand="1"/>
      </w:tblPr>
      <w:tblGrid>
        <w:gridCol w:w="1838"/>
        <w:gridCol w:w="1276"/>
        <w:gridCol w:w="1276"/>
        <w:gridCol w:w="1417"/>
        <w:gridCol w:w="1559"/>
        <w:gridCol w:w="1134"/>
        <w:gridCol w:w="851"/>
      </w:tblGrid>
      <w:tr w:rsidR="00E02032" w:rsidRPr="00AB1CF4" w14:paraId="2E8F6E07" w14:textId="77777777" w:rsidTr="00233C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38" w:type="dxa"/>
            <w:vMerge w:val="restart"/>
            <w:tcBorders>
              <w:top w:val="single" w:sz="4" w:space="0" w:color="4472C4" w:themeColor="accent1"/>
              <w:left w:val="single" w:sz="4" w:space="0" w:color="4472C4" w:themeColor="accent1"/>
            </w:tcBorders>
            <w:shd w:val="clear" w:color="auto" w:fill="auto"/>
          </w:tcPr>
          <w:p w14:paraId="242A6B7E" w14:textId="77777777" w:rsidR="00E02032" w:rsidRPr="00AB1CF4" w:rsidRDefault="00E02032" w:rsidP="00233C12">
            <w:pPr>
              <w:jc w:val="center"/>
              <w:rPr>
                <w:rFonts w:cstheme="minorHAnsi"/>
                <w:bCs w:val="0"/>
                <w:i w:val="0"/>
                <w:iCs w:val="0"/>
                <w:color w:val="5B9BD5" w:themeColor="accent5"/>
                <w:sz w:val="18"/>
                <w:szCs w:val="18"/>
              </w:rPr>
            </w:pPr>
          </w:p>
          <w:p w14:paraId="0A6A98E5" w14:textId="77777777" w:rsidR="00E02032" w:rsidRPr="00AB1CF4" w:rsidRDefault="00E02032" w:rsidP="00233C12">
            <w:pPr>
              <w:jc w:val="center"/>
              <w:rPr>
                <w:rFonts w:cstheme="minorHAnsi"/>
                <w:bCs w:val="0"/>
                <w:i w:val="0"/>
                <w:iCs w:val="0"/>
                <w:color w:val="5B9BD5" w:themeColor="accent5"/>
                <w:sz w:val="18"/>
                <w:szCs w:val="18"/>
              </w:rPr>
            </w:pPr>
          </w:p>
          <w:p w14:paraId="36782DAF" w14:textId="77777777" w:rsidR="00E02032" w:rsidRPr="00AB1CF4" w:rsidRDefault="00E02032" w:rsidP="00233C12">
            <w:pPr>
              <w:jc w:val="center"/>
              <w:rPr>
                <w:rFonts w:cstheme="minorHAnsi"/>
                <w:bCs w:val="0"/>
                <w:i w:val="0"/>
                <w:iCs w:val="0"/>
                <w:color w:val="5B9BD5" w:themeColor="accent5"/>
                <w:sz w:val="18"/>
                <w:szCs w:val="18"/>
              </w:rPr>
            </w:pPr>
          </w:p>
          <w:p w14:paraId="3B7D57A9" w14:textId="77777777" w:rsidR="00E02032" w:rsidRPr="00AB1CF4" w:rsidRDefault="00E02032" w:rsidP="00233C12">
            <w:pPr>
              <w:jc w:val="center"/>
              <w:rPr>
                <w:rFonts w:cstheme="minorHAnsi"/>
                <w:bCs w:val="0"/>
                <w:i w:val="0"/>
                <w:iCs w:val="0"/>
                <w:color w:val="5B9BD5" w:themeColor="accent5"/>
                <w:sz w:val="18"/>
                <w:szCs w:val="18"/>
              </w:rPr>
            </w:pPr>
          </w:p>
          <w:p w14:paraId="5298B401" w14:textId="77777777" w:rsidR="00E02032" w:rsidRPr="00AB1CF4" w:rsidRDefault="00E02032" w:rsidP="00233C12">
            <w:pPr>
              <w:jc w:val="center"/>
              <w:rPr>
                <w:rFonts w:cstheme="minorHAnsi"/>
                <w:bCs w:val="0"/>
                <w:i w:val="0"/>
                <w:iCs w:val="0"/>
                <w:color w:val="5B9BD5" w:themeColor="accent5"/>
                <w:sz w:val="18"/>
                <w:szCs w:val="18"/>
                <w:lang w:val="en-US"/>
              </w:rPr>
            </w:pPr>
            <w:r w:rsidRPr="00AB1CF4">
              <w:rPr>
                <w:rFonts w:cstheme="minorHAnsi"/>
                <w:bCs w:val="0"/>
                <w:i w:val="0"/>
                <w:iCs w:val="0"/>
                <w:color w:val="5B9BD5" w:themeColor="accent5"/>
                <w:sz w:val="18"/>
                <w:szCs w:val="18"/>
                <w:lang w:val="en-US"/>
              </w:rPr>
              <w:t>Types de  violence</w:t>
            </w:r>
          </w:p>
        </w:tc>
        <w:tc>
          <w:tcPr>
            <w:tcW w:w="7513" w:type="dxa"/>
            <w:gridSpan w:val="6"/>
            <w:tcBorders>
              <w:top w:val="single" w:sz="4" w:space="0" w:color="4472C4" w:themeColor="accent1"/>
              <w:right w:val="single" w:sz="4" w:space="0" w:color="4472C4" w:themeColor="accent1"/>
            </w:tcBorders>
            <w:shd w:val="clear" w:color="auto" w:fill="auto"/>
          </w:tcPr>
          <w:p w14:paraId="473E5A63" w14:textId="77777777" w:rsidR="00E02032" w:rsidRPr="00AB1CF4" w:rsidRDefault="00E02032" w:rsidP="00233C12">
            <w:pPr>
              <w:jc w:val="center"/>
              <w:cnfStyle w:val="100000000000" w:firstRow="1" w:lastRow="0" w:firstColumn="0" w:lastColumn="0" w:oddVBand="0" w:evenVBand="0" w:oddHBand="0" w:evenHBand="0" w:firstRowFirstColumn="0" w:firstRowLastColumn="0" w:lastRowFirstColumn="0" w:lastRowLastColumn="0"/>
              <w:rPr>
                <w:rFonts w:cstheme="minorHAnsi"/>
                <w:bCs w:val="0"/>
                <w:color w:val="5B9BD5" w:themeColor="accent5"/>
                <w:sz w:val="18"/>
                <w:szCs w:val="18"/>
                <w:lang w:val="en-US"/>
              </w:rPr>
            </w:pPr>
            <w:r w:rsidRPr="00AB1CF4">
              <w:rPr>
                <w:rFonts w:cstheme="minorHAnsi"/>
                <w:bCs w:val="0"/>
                <w:color w:val="5B9BD5" w:themeColor="accent5"/>
                <w:sz w:val="18"/>
                <w:szCs w:val="18"/>
                <w:lang w:val="en-US"/>
              </w:rPr>
              <w:lastRenderedPageBreak/>
              <w:t xml:space="preserve">Sources </w:t>
            </w:r>
          </w:p>
          <w:p w14:paraId="3E1E6181" w14:textId="77777777" w:rsidR="00E02032" w:rsidRPr="00AB1CF4" w:rsidRDefault="00E02032" w:rsidP="00233C12">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18"/>
                <w:szCs w:val="18"/>
                <w:lang w:val="en-US"/>
              </w:rPr>
            </w:pPr>
          </w:p>
        </w:tc>
      </w:tr>
      <w:tr w:rsidR="00E02032" w:rsidRPr="00AB1CF4" w14:paraId="587CC834" w14:textId="77777777" w:rsidTr="00233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Borders>
              <w:left w:val="single" w:sz="4" w:space="0" w:color="4472C4" w:themeColor="accent1"/>
              <w:bottom w:val="single" w:sz="4" w:space="0" w:color="4472C4" w:themeColor="accent1"/>
            </w:tcBorders>
            <w:shd w:val="clear" w:color="auto" w:fill="auto"/>
          </w:tcPr>
          <w:p w14:paraId="4F7CC60E" w14:textId="77777777" w:rsidR="00E02032" w:rsidRPr="00AB1CF4" w:rsidRDefault="00E02032" w:rsidP="00233C12">
            <w:pPr>
              <w:jc w:val="center"/>
              <w:rPr>
                <w:rFonts w:cstheme="minorHAnsi"/>
                <w:b/>
                <w:color w:val="000000" w:themeColor="text1"/>
                <w:sz w:val="18"/>
                <w:szCs w:val="18"/>
                <w:lang w:val="en-US"/>
              </w:rPr>
            </w:pPr>
          </w:p>
        </w:tc>
        <w:tc>
          <w:tcPr>
            <w:tcW w:w="1276" w:type="dxa"/>
            <w:shd w:val="clear" w:color="auto" w:fill="auto"/>
          </w:tcPr>
          <w:p w14:paraId="00C6D3D1" w14:textId="77777777" w:rsidR="00E02032" w:rsidRPr="00AB1CF4" w:rsidRDefault="00E02032" w:rsidP="00233C12">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szCs w:val="18"/>
              </w:rPr>
            </w:pPr>
            <w:r w:rsidRPr="00AB1CF4">
              <w:rPr>
                <w:rFonts w:cstheme="minorHAnsi"/>
                <w:b/>
                <w:color w:val="000000" w:themeColor="text1"/>
                <w:sz w:val="18"/>
                <w:szCs w:val="18"/>
              </w:rPr>
              <w:t>Étude menée par UNESCO en 2017 dans 6 localités (moyenne de 11%)</w:t>
            </w:r>
          </w:p>
        </w:tc>
        <w:tc>
          <w:tcPr>
            <w:tcW w:w="1276" w:type="dxa"/>
            <w:shd w:val="clear" w:color="auto" w:fill="auto"/>
          </w:tcPr>
          <w:p w14:paraId="66B8AC66" w14:textId="77777777" w:rsidR="00E02032" w:rsidRPr="00AB1CF4" w:rsidRDefault="00E02032" w:rsidP="00233C12">
            <w:pPr>
              <w:jc w:val="center"/>
              <w:cnfStyle w:val="000000100000" w:firstRow="0" w:lastRow="0" w:firstColumn="0" w:lastColumn="0" w:oddVBand="0" w:evenVBand="0" w:oddHBand="1" w:evenHBand="0" w:firstRowFirstColumn="0" w:firstRowLastColumn="0" w:lastRowFirstColumn="0" w:lastRowLastColumn="0"/>
              <w:rPr>
                <w:rFonts w:cstheme="minorHAnsi"/>
                <w:b/>
                <w:iCs/>
                <w:color w:val="000000" w:themeColor="text1"/>
                <w:sz w:val="18"/>
                <w:szCs w:val="18"/>
              </w:rPr>
            </w:pPr>
            <w:r w:rsidRPr="00AB1CF4">
              <w:rPr>
                <w:rFonts w:cstheme="minorHAnsi"/>
                <w:b/>
                <w:iCs/>
                <w:color w:val="000000" w:themeColor="text1"/>
                <w:sz w:val="18"/>
                <w:szCs w:val="18"/>
              </w:rPr>
              <w:t>Rapport du GBVIMS</w:t>
            </w:r>
            <w:r w:rsidRPr="00AB1CF4">
              <w:rPr>
                <w:rStyle w:val="FootnoteReference"/>
                <w:rFonts w:cstheme="minorHAnsi"/>
                <w:b/>
                <w:iCs/>
                <w:color w:val="000000" w:themeColor="text1"/>
                <w:sz w:val="18"/>
                <w:szCs w:val="18"/>
                <w:lang w:val="en-US"/>
              </w:rPr>
              <w:footnoteReference w:id="11"/>
            </w:r>
            <w:r w:rsidRPr="00AB1CF4">
              <w:rPr>
                <w:rFonts w:cstheme="minorHAnsi"/>
                <w:b/>
                <w:iCs/>
                <w:color w:val="000000" w:themeColor="text1"/>
                <w:sz w:val="18"/>
                <w:szCs w:val="18"/>
              </w:rPr>
              <w:t xml:space="preserve"> couvrant 2016- dans 28 des 73 sous-préfectures et 8 communes de Bangui</w:t>
            </w:r>
          </w:p>
          <w:p w14:paraId="55BABD17" w14:textId="77777777" w:rsidR="00E02032" w:rsidRPr="00AB1CF4" w:rsidRDefault="00E02032" w:rsidP="00233C12">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szCs w:val="18"/>
              </w:rPr>
            </w:pPr>
          </w:p>
        </w:tc>
        <w:tc>
          <w:tcPr>
            <w:tcW w:w="1417" w:type="dxa"/>
            <w:shd w:val="clear" w:color="auto" w:fill="auto"/>
          </w:tcPr>
          <w:p w14:paraId="77F50035" w14:textId="77777777" w:rsidR="00E02032" w:rsidRPr="00AB1CF4" w:rsidRDefault="00E02032" w:rsidP="00233C12">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szCs w:val="18"/>
              </w:rPr>
            </w:pPr>
            <w:r w:rsidRPr="00AB1CF4">
              <w:rPr>
                <w:rFonts w:cstheme="minorHAnsi"/>
                <w:b/>
                <w:color w:val="000000" w:themeColor="text1"/>
                <w:sz w:val="18"/>
                <w:szCs w:val="18"/>
              </w:rPr>
              <w:t>GBVIMS for 2015- 13 000 cas rapportés par les prestataires de service VBG</w:t>
            </w:r>
          </w:p>
        </w:tc>
        <w:tc>
          <w:tcPr>
            <w:tcW w:w="1559" w:type="dxa"/>
            <w:shd w:val="clear" w:color="auto" w:fill="auto"/>
          </w:tcPr>
          <w:p w14:paraId="0D15DDD4" w14:textId="77777777" w:rsidR="00E02032" w:rsidRPr="00AB1CF4" w:rsidRDefault="00E02032" w:rsidP="00233C12">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szCs w:val="18"/>
              </w:rPr>
            </w:pPr>
            <w:r w:rsidRPr="00AB1CF4">
              <w:rPr>
                <w:rFonts w:cstheme="minorHAnsi"/>
                <w:b/>
                <w:color w:val="000000" w:themeColor="text1"/>
                <w:sz w:val="18"/>
                <w:szCs w:val="18"/>
              </w:rPr>
              <w:t>Étude réalisée par MISAD</w:t>
            </w:r>
            <w:r w:rsidRPr="00AB1CF4">
              <w:rPr>
                <w:rStyle w:val="FootnoteReference"/>
                <w:rFonts w:cstheme="minorHAnsi"/>
                <w:b/>
                <w:color w:val="000000" w:themeColor="text1"/>
                <w:sz w:val="18"/>
                <w:szCs w:val="18"/>
                <w:lang w:val="en-US"/>
              </w:rPr>
              <w:footnoteReference w:id="12"/>
            </w:r>
            <w:r w:rsidRPr="00AB1CF4">
              <w:rPr>
                <w:rFonts w:cstheme="minorHAnsi"/>
                <w:b/>
                <w:color w:val="000000" w:themeColor="text1"/>
                <w:sz w:val="18"/>
                <w:szCs w:val="18"/>
              </w:rPr>
              <w:t xml:space="preserve"> dans 8 communes de Bangui et 45 sous-préfectures</w:t>
            </w:r>
          </w:p>
          <w:p w14:paraId="1AEBC923" w14:textId="77777777" w:rsidR="00E02032" w:rsidRPr="00AB1CF4" w:rsidRDefault="00E02032" w:rsidP="00233C12">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szCs w:val="18"/>
                <w:lang w:val="en-US"/>
              </w:rPr>
            </w:pPr>
            <w:r w:rsidRPr="00AB1CF4">
              <w:rPr>
                <w:rFonts w:cstheme="minorHAnsi"/>
                <w:b/>
                <w:color w:val="000000" w:themeColor="text1"/>
                <w:sz w:val="18"/>
                <w:szCs w:val="18"/>
                <w:lang w:val="en-US"/>
              </w:rPr>
              <w:t xml:space="preserve">60 208 case enregistrés en 11 mois </w:t>
            </w:r>
          </w:p>
        </w:tc>
        <w:tc>
          <w:tcPr>
            <w:tcW w:w="1134" w:type="dxa"/>
            <w:shd w:val="clear" w:color="auto" w:fill="auto"/>
          </w:tcPr>
          <w:p w14:paraId="62900341" w14:textId="77777777" w:rsidR="00E02032" w:rsidRPr="00AB1CF4" w:rsidRDefault="00E02032" w:rsidP="00233C12">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szCs w:val="18"/>
              </w:rPr>
            </w:pPr>
            <w:r w:rsidRPr="00AB1CF4">
              <w:rPr>
                <w:rFonts w:cstheme="minorHAnsi"/>
                <w:b/>
                <w:color w:val="000000" w:themeColor="text1"/>
                <w:sz w:val="18"/>
                <w:szCs w:val="18"/>
              </w:rPr>
              <w:t>Étude réalisée en 2011 dans 3 préfectures</w:t>
            </w:r>
            <w:r w:rsidRPr="00AB1CF4">
              <w:rPr>
                <w:rStyle w:val="FootnoteReference"/>
                <w:rFonts w:cstheme="minorHAnsi"/>
                <w:b/>
                <w:color w:val="000000" w:themeColor="text1"/>
                <w:sz w:val="18"/>
                <w:szCs w:val="18"/>
                <w:lang w:val="en-US"/>
              </w:rPr>
              <w:footnoteReference w:id="13"/>
            </w:r>
          </w:p>
          <w:p w14:paraId="49D9AFA7" w14:textId="77777777" w:rsidR="00E02032" w:rsidRPr="00AB1CF4" w:rsidRDefault="00E02032" w:rsidP="00233C12">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szCs w:val="18"/>
              </w:rPr>
            </w:pPr>
          </w:p>
        </w:tc>
        <w:tc>
          <w:tcPr>
            <w:tcW w:w="851" w:type="dxa"/>
            <w:tcBorders>
              <w:right w:val="single" w:sz="4" w:space="0" w:color="4472C4" w:themeColor="accent1"/>
            </w:tcBorders>
            <w:shd w:val="clear" w:color="auto" w:fill="auto"/>
          </w:tcPr>
          <w:p w14:paraId="3F3467BE" w14:textId="77777777" w:rsidR="00E02032" w:rsidRPr="00AB1CF4" w:rsidRDefault="00E02032" w:rsidP="00233C12">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szCs w:val="18"/>
                <w:lang w:val="en-US"/>
              </w:rPr>
            </w:pPr>
            <w:r w:rsidRPr="00AB1CF4">
              <w:rPr>
                <w:rFonts w:cstheme="minorHAnsi"/>
                <w:b/>
                <w:color w:val="000000" w:themeColor="text1"/>
                <w:sz w:val="18"/>
                <w:szCs w:val="18"/>
                <w:lang w:val="en-US"/>
              </w:rPr>
              <w:t>MICS 2010</w:t>
            </w:r>
          </w:p>
        </w:tc>
      </w:tr>
      <w:tr w:rsidR="00E02032" w:rsidRPr="00AB1CF4" w14:paraId="3B998483" w14:textId="77777777" w:rsidTr="00233C12">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4619471C" w14:textId="77777777" w:rsidR="00E02032" w:rsidRPr="00AB1CF4" w:rsidRDefault="00E02032" w:rsidP="00233C12">
            <w:pPr>
              <w:jc w:val="center"/>
              <w:rPr>
                <w:rFonts w:cstheme="minorHAnsi"/>
                <w:bCs/>
                <w:color w:val="000000" w:themeColor="text1"/>
                <w:sz w:val="18"/>
                <w:szCs w:val="18"/>
                <w:lang w:val="en-US"/>
              </w:rPr>
            </w:pPr>
            <w:r w:rsidRPr="00AB1CF4">
              <w:rPr>
                <w:rFonts w:cstheme="minorHAnsi"/>
                <w:bCs/>
                <w:color w:val="000000" w:themeColor="text1"/>
                <w:sz w:val="18"/>
                <w:szCs w:val="18"/>
                <w:lang w:val="en-US"/>
              </w:rPr>
              <w:t>Violence psychologique et émotionnelle</w:t>
            </w:r>
          </w:p>
        </w:tc>
        <w:tc>
          <w:tcPr>
            <w:tcW w:w="1276" w:type="dxa"/>
            <w:tcBorders>
              <w:left w:val="single" w:sz="4" w:space="0" w:color="4472C4" w:themeColor="accent1"/>
            </w:tcBorders>
            <w:shd w:val="clear" w:color="auto" w:fill="E7E6E6" w:themeFill="background2"/>
            <w:vAlign w:val="center"/>
          </w:tcPr>
          <w:p w14:paraId="52C9DD4E" w14:textId="77777777" w:rsidR="00E02032" w:rsidRPr="00AB1CF4" w:rsidRDefault="00E02032" w:rsidP="00233C12">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US"/>
              </w:rPr>
            </w:pPr>
            <w:r w:rsidRPr="00AB1CF4">
              <w:rPr>
                <w:rFonts w:cstheme="minorHAnsi"/>
                <w:color w:val="000000" w:themeColor="text1"/>
                <w:sz w:val="18"/>
                <w:szCs w:val="18"/>
                <w:lang w:val="en-US"/>
              </w:rPr>
              <w:t>87 %</w:t>
            </w:r>
          </w:p>
        </w:tc>
        <w:tc>
          <w:tcPr>
            <w:tcW w:w="1276" w:type="dxa"/>
            <w:shd w:val="clear" w:color="auto" w:fill="E7E6E6" w:themeFill="background2"/>
            <w:vAlign w:val="center"/>
          </w:tcPr>
          <w:p w14:paraId="253BD4E6" w14:textId="77777777" w:rsidR="00E02032" w:rsidRPr="00AB1CF4" w:rsidRDefault="00E02032" w:rsidP="00233C12">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US"/>
              </w:rPr>
            </w:pPr>
            <w:r w:rsidRPr="00AB1CF4">
              <w:rPr>
                <w:rFonts w:cstheme="minorHAnsi"/>
                <w:color w:val="000000" w:themeColor="text1"/>
                <w:sz w:val="18"/>
                <w:szCs w:val="18"/>
                <w:lang w:val="en-US"/>
              </w:rPr>
              <w:t>30 %</w:t>
            </w:r>
          </w:p>
        </w:tc>
        <w:tc>
          <w:tcPr>
            <w:tcW w:w="1417" w:type="dxa"/>
            <w:shd w:val="clear" w:color="auto" w:fill="E7E6E6" w:themeFill="background2"/>
            <w:vAlign w:val="center"/>
          </w:tcPr>
          <w:p w14:paraId="0363540D" w14:textId="77777777" w:rsidR="00E02032" w:rsidRPr="00AB1CF4" w:rsidRDefault="00E02032" w:rsidP="00233C12">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US"/>
              </w:rPr>
            </w:pPr>
          </w:p>
        </w:tc>
        <w:tc>
          <w:tcPr>
            <w:tcW w:w="1559" w:type="dxa"/>
            <w:shd w:val="clear" w:color="auto" w:fill="E7E6E6" w:themeFill="background2"/>
            <w:vAlign w:val="center"/>
          </w:tcPr>
          <w:p w14:paraId="149C17B2" w14:textId="77777777" w:rsidR="00E02032" w:rsidRPr="00AB1CF4" w:rsidRDefault="00E02032" w:rsidP="00233C12">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US"/>
              </w:rPr>
            </w:pPr>
            <w:r w:rsidRPr="00AB1CF4">
              <w:rPr>
                <w:rFonts w:cstheme="minorHAnsi"/>
                <w:color w:val="000000" w:themeColor="text1"/>
                <w:sz w:val="18"/>
                <w:szCs w:val="18"/>
                <w:lang w:val="en-US"/>
              </w:rPr>
              <w:t>18 %</w:t>
            </w:r>
          </w:p>
        </w:tc>
        <w:tc>
          <w:tcPr>
            <w:tcW w:w="1134" w:type="dxa"/>
            <w:shd w:val="clear" w:color="auto" w:fill="E7E6E6" w:themeFill="background2"/>
            <w:vAlign w:val="center"/>
          </w:tcPr>
          <w:p w14:paraId="4345B825" w14:textId="77777777" w:rsidR="00E02032" w:rsidRPr="00AB1CF4" w:rsidRDefault="00E02032" w:rsidP="00233C12">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US"/>
              </w:rPr>
            </w:pPr>
            <w:r w:rsidRPr="00AB1CF4">
              <w:rPr>
                <w:rFonts w:cstheme="minorHAnsi"/>
                <w:color w:val="000000" w:themeColor="text1"/>
                <w:sz w:val="18"/>
                <w:szCs w:val="18"/>
                <w:lang w:val="en-US"/>
              </w:rPr>
              <w:t>65 %</w:t>
            </w:r>
          </w:p>
        </w:tc>
        <w:tc>
          <w:tcPr>
            <w:tcW w:w="851" w:type="dxa"/>
            <w:tcBorders>
              <w:right w:val="single" w:sz="4" w:space="0" w:color="4472C4" w:themeColor="accent1"/>
            </w:tcBorders>
            <w:shd w:val="clear" w:color="auto" w:fill="E7E6E6" w:themeFill="background2"/>
            <w:vAlign w:val="center"/>
          </w:tcPr>
          <w:p w14:paraId="64B62AEC" w14:textId="77777777" w:rsidR="00E02032" w:rsidRPr="00AB1CF4" w:rsidRDefault="00E02032" w:rsidP="00233C12">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US"/>
              </w:rPr>
            </w:pPr>
          </w:p>
        </w:tc>
      </w:tr>
      <w:tr w:rsidR="00E02032" w:rsidRPr="00AB1CF4" w14:paraId="5E3D303A" w14:textId="77777777" w:rsidTr="00233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0B7D7B32" w14:textId="77777777" w:rsidR="00E02032" w:rsidRPr="00AB1CF4" w:rsidRDefault="00E02032" w:rsidP="00233C12">
            <w:pPr>
              <w:jc w:val="center"/>
              <w:rPr>
                <w:rFonts w:cstheme="minorHAnsi"/>
                <w:bCs/>
                <w:color w:val="000000" w:themeColor="text1"/>
                <w:sz w:val="18"/>
                <w:szCs w:val="18"/>
              </w:rPr>
            </w:pPr>
            <w:r w:rsidRPr="00AB1CF4">
              <w:rPr>
                <w:rFonts w:cstheme="minorHAnsi"/>
                <w:bCs/>
                <w:color w:val="000000" w:themeColor="text1"/>
                <w:sz w:val="18"/>
                <w:szCs w:val="18"/>
              </w:rPr>
              <w:t>Violence sexuelle, viol</w:t>
            </w:r>
          </w:p>
        </w:tc>
        <w:tc>
          <w:tcPr>
            <w:tcW w:w="1276" w:type="dxa"/>
            <w:tcBorders>
              <w:left w:val="single" w:sz="4" w:space="0" w:color="4472C4" w:themeColor="accent1"/>
            </w:tcBorders>
            <w:shd w:val="clear" w:color="auto" w:fill="auto"/>
            <w:vAlign w:val="center"/>
          </w:tcPr>
          <w:p w14:paraId="67EBEC54" w14:textId="77777777" w:rsidR="00E02032" w:rsidRPr="00AB1CF4" w:rsidRDefault="00E02032" w:rsidP="00233C12">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US"/>
              </w:rPr>
            </w:pPr>
            <w:r w:rsidRPr="00AB1CF4">
              <w:rPr>
                <w:rFonts w:cstheme="minorHAnsi"/>
                <w:color w:val="000000" w:themeColor="text1"/>
                <w:sz w:val="18"/>
                <w:szCs w:val="18"/>
                <w:lang w:val="en-US"/>
              </w:rPr>
              <w:t>73 %</w:t>
            </w:r>
          </w:p>
        </w:tc>
        <w:tc>
          <w:tcPr>
            <w:tcW w:w="1276" w:type="dxa"/>
            <w:shd w:val="clear" w:color="auto" w:fill="auto"/>
            <w:vAlign w:val="center"/>
          </w:tcPr>
          <w:p w14:paraId="60D63113" w14:textId="77777777" w:rsidR="00E02032" w:rsidRPr="00AB1CF4" w:rsidRDefault="00E02032" w:rsidP="00233C12">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US"/>
              </w:rPr>
            </w:pPr>
            <w:r w:rsidRPr="00AB1CF4">
              <w:rPr>
                <w:rFonts w:cstheme="minorHAnsi"/>
                <w:color w:val="000000" w:themeColor="text1"/>
                <w:sz w:val="18"/>
                <w:szCs w:val="18"/>
                <w:lang w:val="en-US"/>
              </w:rPr>
              <w:t>21 %</w:t>
            </w:r>
          </w:p>
        </w:tc>
        <w:tc>
          <w:tcPr>
            <w:tcW w:w="1417" w:type="dxa"/>
            <w:shd w:val="clear" w:color="auto" w:fill="auto"/>
            <w:vAlign w:val="center"/>
          </w:tcPr>
          <w:p w14:paraId="14258896" w14:textId="77777777" w:rsidR="00E02032" w:rsidRPr="00AB1CF4" w:rsidRDefault="00E02032" w:rsidP="00233C12">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US"/>
              </w:rPr>
            </w:pPr>
            <w:r w:rsidRPr="00AB1CF4">
              <w:rPr>
                <w:rFonts w:cstheme="minorHAnsi"/>
                <w:color w:val="000000" w:themeColor="text1"/>
                <w:sz w:val="18"/>
                <w:szCs w:val="18"/>
                <w:lang w:val="en-US"/>
              </w:rPr>
              <w:t>50 %</w:t>
            </w:r>
          </w:p>
        </w:tc>
        <w:tc>
          <w:tcPr>
            <w:tcW w:w="1559" w:type="dxa"/>
            <w:shd w:val="clear" w:color="auto" w:fill="auto"/>
            <w:vAlign w:val="center"/>
          </w:tcPr>
          <w:p w14:paraId="7EF59E6E" w14:textId="77777777" w:rsidR="00E02032" w:rsidRPr="00AB1CF4" w:rsidRDefault="00E02032" w:rsidP="00233C12">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US"/>
              </w:rPr>
            </w:pPr>
            <w:r w:rsidRPr="00AB1CF4">
              <w:rPr>
                <w:rFonts w:cstheme="minorHAnsi"/>
                <w:color w:val="000000" w:themeColor="text1"/>
                <w:sz w:val="18"/>
                <w:szCs w:val="18"/>
                <w:lang w:val="en-US"/>
              </w:rPr>
              <w:t>50 %</w:t>
            </w:r>
          </w:p>
        </w:tc>
        <w:tc>
          <w:tcPr>
            <w:tcW w:w="1134" w:type="dxa"/>
            <w:shd w:val="clear" w:color="auto" w:fill="auto"/>
            <w:vAlign w:val="center"/>
          </w:tcPr>
          <w:p w14:paraId="2FCBEE27" w14:textId="77777777" w:rsidR="00E02032" w:rsidRPr="00AB1CF4" w:rsidRDefault="00E02032" w:rsidP="00233C12">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US"/>
              </w:rPr>
            </w:pPr>
            <w:r w:rsidRPr="00AB1CF4">
              <w:rPr>
                <w:rFonts w:cstheme="minorHAnsi"/>
                <w:color w:val="000000" w:themeColor="text1"/>
                <w:sz w:val="18"/>
                <w:szCs w:val="18"/>
                <w:lang w:val="en-US"/>
              </w:rPr>
              <w:t>42 %</w:t>
            </w:r>
          </w:p>
        </w:tc>
        <w:tc>
          <w:tcPr>
            <w:tcW w:w="851" w:type="dxa"/>
            <w:tcBorders>
              <w:right w:val="single" w:sz="4" w:space="0" w:color="4472C4" w:themeColor="accent1"/>
            </w:tcBorders>
            <w:shd w:val="clear" w:color="auto" w:fill="auto"/>
            <w:vAlign w:val="center"/>
          </w:tcPr>
          <w:p w14:paraId="3D7C2250" w14:textId="77777777" w:rsidR="00E02032" w:rsidRPr="00AB1CF4" w:rsidRDefault="00E02032" w:rsidP="00233C12">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US"/>
              </w:rPr>
            </w:pPr>
          </w:p>
        </w:tc>
      </w:tr>
      <w:tr w:rsidR="00E02032" w:rsidRPr="00AB1CF4" w14:paraId="26A3C488" w14:textId="77777777" w:rsidTr="00233C12">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6C7000C0" w14:textId="77777777" w:rsidR="00E02032" w:rsidRPr="00AB1CF4" w:rsidRDefault="00E02032" w:rsidP="00233C12">
            <w:pPr>
              <w:jc w:val="center"/>
              <w:rPr>
                <w:rFonts w:cstheme="minorHAnsi"/>
                <w:bCs/>
                <w:color w:val="000000" w:themeColor="text1"/>
                <w:sz w:val="18"/>
                <w:szCs w:val="18"/>
                <w:lang w:val="en-US"/>
              </w:rPr>
            </w:pPr>
            <w:r w:rsidRPr="00AB1CF4">
              <w:rPr>
                <w:rFonts w:cstheme="minorHAnsi"/>
                <w:bCs/>
                <w:color w:val="000000" w:themeColor="text1"/>
                <w:sz w:val="18"/>
                <w:szCs w:val="18"/>
                <w:lang w:val="en-US"/>
              </w:rPr>
              <w:lastRenderedPageBreak/>
              <w:t>Violence domestique</w:t>
            </w:r>
          </w:p>
        </w:tc>
        <w:tc>
          <w:tcPr>
            <w:tcW w:w="1276" w:type="dxa"/>
            <w:tcBorders>
              <w:left w:val="single" w:sz="4" w:space="0" w:color="4472C4" w:themeColor="accent1"/>
            </w:tcBorders>
            <w:shd w:val="clear" w:color="auto" w:fill="E7E6E6" w:themeFill="background2"/>
            <w:vAlign w:val="center"/>
          </w:tcPr>
          <w:p w14:paraId="1FD9C43B" w14:textId="77777777" w:rsidR="00E02032" w:rsidRPr="00AB1CF4" w:rsidRDefault="00E02032" w:rsidP="00233C12">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US"/>
              </w:rPr>
            </w:pPr>
            <w:r w:rsidRPr="00AB1CF4">
              <w:rPr>
                <w:rFonts w:cstheme="minorHAnsi"/>
                <w:color w:val="000000" w:themeColor="text1"/>
                <w:sz w:val="18"/>
                <w:szCs w:val="18"/>
                <w:lang w:val="en-US"/>
              </w:rPr>
              <w:t>71 %</w:t>
            </w:r>
          </w:p>
        </w:tc>
        <w:tc>
          <w:tcPr>
            <w:tcW w:w="1276" w:type="dxa"/>
            <w:shd w:val="clear" w:color="auto" w:fill="E7E6E6" w:themeFill="background2"/>
            <w:vAlign w:val="center"/>
          </w:tcPr>
          <w:p w14:paraId="0049D64B" w14:textId="77777777" w:rsidR="00E02032" w:rsidRPr="00AB1CF4" w:rsidRDefault="00E02032" w:rsidP="00233C12">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US"/>
              </w:rPr>
            </w:pPr>
          </w:p>
        </w:tc>
        <w:tc>
          <w:tcPr>
            <w:tcW w:w="1417" w:type="dxa"/>
            <w:shd w:val="clear" w:color="auto" w:fill="E7E6E6" w:themeFill="background2"/>
            <w:vAlign w:val="center"/>
          </w:tcPr>
          <w:p w14:paraId="2BAE99F8" w14:textId="77777777" w:rsidR="00E02032" w:rsidRPr="00AB1CF4" w:rsidRDefault="00E02032" w:rsidP="00233C12">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US"/>
              </w:rPr>
            </w:pPr>
          </w:p>
        </w:tc>
        <w:tc>
          <w:tcPr>
            <w:tcW w:w="1559" w:type="dxa"/>
            <w:shd w:val="clear" w:color="auto" w:fill="E7E6E6" w:themeFill="background2"/>
            <w:vAlign w:val="center"/>
          </w:tcPr>
          <w:p w14:paraId="645584B4" w14:textId="77777777" w:rsidR="00E02032" w:rsidRPr="00AB1CF4" w:rsidRDefault="00E02032" w:rsidP="00233C12">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US"/>
              </w:rPr>
            </w:pPr>
          </w:p>
        </w:tc>
        <w:tc>
          <w:tcPr>
            <w:tcW w:w="1134" w:type="dxa"/>
            <w:shd w:val="clear" w:color="auto" w:fill="E7E6E6" w:themeFill="background2"/>
            <w:vAlign w:val="center"/>
          </w:tcPr>
          <w:p w14:paraId="3FD0CBCD" w14:textId="77777777" w:rsidR="00E02032" w:rsidRPr="00AB1CF4" w:rsidRDefault="00E02032" w:rsidP="00233C12">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US"/>
              </w:rPr>
            </w:pPr>
          </w:p>
        </w:tc>
        <w:tc>
          <w:tcPr>
            <w:tcW w:w="851" w:type="dxa"/>
            <w:tcBorders>
              <w:right w:val="single" w:sz="4" w:space="0" w:color="4472C4" w:themeColor="accent1"/>
            </w:tcBorders>
            <w:shd w:val="clear" w:color="auto" w:fill="E7E6E6" w:themeFill="background2"/>
            <w:vAlign w:val="center"/>
          </w:tcPr>
          <w:p w14:paraId="48274C37" w14:textId="77777777" w:rsidR="00E02032" w:rsidRPr="00AB1CF4" w:rsidRDefault="00E02032" w:rsidP="00233C12">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US"/>
              </w:rPr>
            </w:pPr>
          </w:p>
        </w:tc>
      </w:tr>
      <w:tr w:rsidR="00E02032" w:rsidRPr="00AB1CF4" w14:paraId="05A6387D" w14:textId="77777777" w:rsidTr="00233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73B7541E" w14:textId="77777777" w:rsidR="00E02032" w:rsidRPr="00AB1CF4" w:rsidRDefault="00E02032" w:rsidP="00233C12">
            <w:pPr>
              <w:jc w:val="center"/>
              <w:rPr>
                <w:rFonts w:cstheme="minorHAnsi"/>
                <w:bCs/>
                <w:color w:val="000000" w:themeColor="text1"/>
                <w:sz w:val="18"/>
                <w:szCs w:val="18"/>
                <w:lang w:val="en-US"/>
              </w:rPr>
            </w:pPr>
            <w:r w:rsidRPr="00AB1CF4">
              <w:rPr>
                <w:rFonts w:cstheme="minorHAnsi"/>
                <w:bCs/>
                <w:color w:val="000000" w:themeColor="text1"/>
                <w:sz w:val="18"/>
                <w:szCs w:val="18"/>
                <w:lang w:val="en-US"/>
              </w:rPr>
              <w:t>Violence physique</w:t>
            </w:r>
          </w:p>
        </w:tc>
        <w:tc>
          <w:tcPr>
            <w:tcW w:w="1276" w:type="dxa"/>
            <w:tcBorders>
              <w:left w:val="single" w:sz="4" w:space="0" w:color="4472C4" w:themeColor="accent1"/>
            </w:tcBorders>
            <w:shd w:val="clear" w:color="auto" w:fill="auto"/>
            <w:vAlign w:val="center"/>
          </w:tcPr>
          <w:p w14:paraId="5B230460" w14:textId="77777777" w:rsidR="00E02032" w:rsidRPr="00AB1CF4" w:rsidRDefault="00E02032" w:rsidP="00233C12">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US"/>
              </w:rPr>
            </w:pPr>
            <w:r w:rsidRPr="00AB1CF4">
              <w:rPr>
                <w:rFonts w:cstheme="minorHAnsi"/>
                <w:color w:val="000000" w:themeColor="text1"/>
                <w:sz w:val="18"/>
                <w:szCs w:val="18"/>
                <w:lang w:val="en-US"/>
              </w:rPr>
              <w:t>66 %</w:t>
            </w:r>
          </w:p>
        </w:tc>
        <w:tc>
          <w:tcPr>
            <w:tcW w:w="1276" w:type="dxa"/>
            <w:shd w:val="clear" w:color="auto" w:fill="auto"/>
            <w:vAlign w:val="center"/>
          </w:tcPr>
          <w:p w14:paraId="696BABEB" w14:textId="77777777" w:rsidR="00E02032" w:rsidRPr="00AB1CF4" w:rsidRDefault="00E02032" w:rsidP="00233C12">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US"/>
              </w:rPr>
            </w:pPr>
            <w:r w:rsidRPr="00AB1CF4">
              <w:rPr>
                <w:rFonts w:cstheme="minorHAnsi"/>
                <w:color w:val="000000" w:themeColor="text1"/>
                <w:sz w:val="18"/>
                <w:szCs w:val="18"/>
                <w:lang w:val="en-US"/>
              </w:rPr>
              <w:t>24 %</w:t>
            </w:r>
          </w:p>
        </w:tc>
        <w:tc>
          <w:tcPr>
            <w:tcW w:w="1417" w:type="dxa"/>
            <w:shd w:val="clear" w:color="auto" w:fill="auto"/>
            <w:vAlign w:val="center"/>
          </w:tcPr>
          <w:p w14:paraId="62AF366D" w14:textId="77777777" w:rsidR="00E02032" w:rsidRPr="00AB1CF4" w:rsidRDefault="00E02032" w:rsidP="00233C12">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US"/>
              </w:rPr>
            </w:pPr>
          </w:p>
        </w:tc>
        <w:tc>
          <w:tcPr>
            <w:tcW w:w="1559" w:type="dxa"/>
            <w:shd w:val="clear" w:color="auto" w:fill="auto"/>
            <w:vAlign w:val="center"/>
          </w:tcPr>
          <w:p w14:paraId="76C7EE8D" w14:textId="77777777" w:rsidR="00E02032" w:rsidRPr="00AB1CF4" w:rsidRDefault="00E02032" w:rsidP="00233C12">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US"/>
              </w:rPr>
            </w:pPr>
            <w:r w:rsidRPr="00AB1CF4">
              <w:rPr>
                <w:rFonts w:cstheme="minorHAnsi"/>
                <w:color w:val="000000" w:themeColor="text1"/>
                <w:sz w:val="18"/>
                <w:szCs w:val="18"/>
                <w:lang w:val="en-US"/>
              </w:rPr>
              <w:t>15 %</w:t>
            </w:r>
          </w:p>
        </w:tc>
        <w:tc>
          <w:tcPr>
            <w:tcW w:w="1134" w:type="dxa"/>
            <w:shd w:val="clear" w:color="auto" w:fill="auto"/>
            <w:vAlign w:val="center"/>
          </w:tcPr>
          <w:p w14:paraId="6F179A32" w14:textId="77777777" w:rsidR="00E02032" w:rsidRPr="00AB1CF4" w:rsidRDefault="00E02032" w:rsidP="00233C12">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US"/>
              </w:rPr>
            </w:pPr>
          </w:p>
        </w:tc>
        <w:tc>
          <w:tcPr>
            <w:tcW w:w="851" w:type="dxa"/>
            <w:tcBorders>
              <w:right w:val="single" w:sz="4" w:space="0" w:color="4472C4" w:themeColor="accent1"/>
            </w:tcBorders>
            <w:shd w:val="clear" w:color="auto" w:fill="auto"/>
            <w:vAlign w:val="center"/>
          </w:tcPr>
          <w:p w14:paraId="77835D7B" w14:textId="77777777" w:rsidR="00E02032" w:rsidRPr="00AB1CF4" w:rsidRDefault="00E02032" w:rsidP="00233C12">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US"/>
              </w:rPr>
            </w:pPr>
          </w:p>
        </w:tc>
      </w:tr>
      <w:tr w:rsidR="00E02032" w:rsidRPr="00AB1CF4" w14:paraId="339D4D7E" w14:textId="77777777" w:rsidTr="00233C12">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54D1D02D" w14:textId="77777777" w:rsidR="00E02032" w:rsidRPr="00AB1CF4" w:rsidRDefault="00E02032" w:rsidP="00233C12">
            <w:pPr>
              <w:jc w:val="center"/>
              <w:rPr>
                <w:rFonts w:cstheme="minorHAnsi"/>
                <w:bCs/>
                <w:color w:val="000000" w:themeColor="text1"/>
                <w:sz w:val="18"/>
                <w:szCs w:val="18"/>
              </w:rPr>
            </w:pPr>
            <w:r w:rsidRPr="00AB1CF4">
              <w:rPr>
                <w:rFonts w:cstheme="minorHAnsi"/>
                <w:bCs/>
                <w:color w:val="000000" w:themeColor="text1"/>
                <w:sz w:val="18"/>
                <w:szCs w:val="18"/>
              </w:rPr>
              <w:t>Déni de ressources, services et opportunités</w:t>
            </w:r>
          </w:p>
        </w:tc>
        <w:tc>
          <w:tcPr>
            <w:tcW w:w="1276" w:type="dxa"/>
            <w:tcBorders>
              <w:left w:val="single" w:sz="4" w:space="0" w:color="4472C4" w:themeColor="accent1"/>
            </w:tcBorders>
            <w:shd w:val="clear" w:color="auto" w:fill="E7E6E6" w:themeFill="background2"/>
            <w:vAlign w:val="center"/>
          </w:tcPr>
          <w:p w14:paraId="102C341B" w14:textId="77777777" w:rsidR="00E02032" w:rsidRPr="00AB1CF4" w:rsidRDefault="00E02032" w:rsidP="00233C12">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US"/>
              </w:rPr>
            </w:pPr>
            <w:r w:rsidRPr="00AB1CF4">
              <w:rPr>
                <w:rFonts w:cstheme="minorHAnsi"/>
                <w:color w:val="000000" w:themeColor="text1"/>
                <w:sz w:val="18"/>
                <w:szCs w:val="18"/>
                <w:lang w:val="en-US"/>
              </w:rPr>
              <w:t>63  %</w:t>
            </w:r>
          </w:p>
        </w:tc>
        <w:tc>
          <w:tcPr>
            <w:tcW w:w="1276" w:type="dxa"/>
            <w:shd w:val="clear" w:color="auto" w:fill="E7E6E6" w:themeFill="background2"/>
            <w:vAlign w:val="center"/>
          </w:tcPr>
          <w:p w14:paraId="0AD7968D" w14:textId="77777777" w:rsidR="00E02032" w:rsidRPr="00AB1CF4" w:rsidRDefault="00E02032" w:rsidP="00233C12">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US"/>
              </w:rPr>
            </w:pPr>
            <w:r w:rsidRPr="00AB1CF4">
              <w:rPr>
                <w:rFonts w:cstheme="minorHAnsi"/>
                <w:color w:val="000000" w:themeColor="text1"/>
                <w:sz w:val="18"/>
                <w:szCs w:val="18"/>
                <w:lang w:val="en-US"/>
              </w:rPr>
              <w:t>24 %</w:t>
            </w:r>
          </w:p>
        </w:tc>
        <w:tc>
          <w:tcPr>
            <w:tcW w:w="1417" w:type="dxa"/>
            <w:shd w:val="clear" w:color="auto" w:fill="E7E6E6" w:themeFill="background2"/>
            <w:vAlign w:val="center"/>
          </w:tcPr>
          <w:p w14:paraId="0BB74F2E" w14:textId="77777777" w:rsidR="00E02032" w:rsidRPr="00AB1CF4" w:rsidRDefault="00E02032" w:rsidP="00233C12">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US"/>
              </w:rPr>
            </w:pPr>
          </w:p>
        </w:tc>
        <w:tc>
          <w:tcPr>
            <w:tcW w:w="1559" w:type="dxa"/>
            <w:shd w:val="clear" w:color="auto" w:fill="E7E6E6" w:themeFill="background2"/>
            <w:vAlign w:val="center"/>
          </w:tcPr>
          <w:p w14:paraId="126554C8" w14:textId="77777777" w:rsidR="00E02032" w:rsidRPr="00AB1CF4" w:rsidRDefault="00E02032" w:rsidP="00233C12">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US"/>
              </w:rPr>
            </w:pPr>
            <w:r w:rsidRPr="00AB1CF4">
              <w:rPr>
                <w:rFonts w:cstheme="minorHAnsi"/>
                <w:color w:val="000000" w:themeColor="text1"/>
                <w:sz w:val="18"/>
                <w:szCs w:val="18"/>
                <w:lang w:val="en-US"/>
              </w:rPr>
              <w:t>16 %</w:t>
            </w:r>
          </w:p>
        </w:tc>
        <w:tc>
          <w:tcPr>
            <w:tcW w:w="1134" w:type="dxa"/>
            <w:shd w:val="clear" w:color="auto" w:fill="E7E6E6" w:themeFill="background2"/>
            <w:vAlign w:val="center"/>
          </w:tcPr>
          <w:p w14:paraId="5472318E" w14:textId="77777777" w:rsidR="00E02032" w:rsidRPr="00AB1CF4" w:rsidRDefault="00E02032" w:rsidP="00233C12">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US"/>
              </w:rPr>
            </w:pPr>
          </w:p>
        </w:tc>
        <w:tc>
          <w:tcPr>
            <w:tcW w:w="851" w:type="dxa"/>
            <w:tcBorders>
              <w:right w:val="single" w:sz="4" w:space="0" w:color="4472C4" w:themeColor="accent1"/>
            </w:tcBorders>
            <w:shd w:val="clear" w:color="auto" w:fill="E7E6E6" w:themeFill="background2"/>
            <w:vAlign w:val="center"/>
          </w:tcPr>
          <w:p w14:paraId="3BE3F791" w14:textId="77777777" w:rsidR="00E02032" w:rsidRPr="00AB1CF4" w:rsidRDefault="00E02032" w:rsidP="00233C12">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US"/>
              </w:rPr>
            </w:pPr>
          </w:p>
        </w:tc>
      </w:tr>
      <w:tr w:rsidR="00E02032" w:rsidRPr="00AB1CF4" w14:paraId="1C6F53CB" w14:textId="77777777" w:rsidTr="00233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34B2B01E" w14:textId="77777777" w:rsidR="00E02032" w:rsidRPr="00AB1CF4" w:rsidRDefault="00E02032" w:rsidP="00233C12">
            <w:pPr>
              <w:jc w:val="center"/>
              <w:rPr>
                <w:rFonts w:cstheme="minorHAnsi"/>
                <w:bCs/>
                <w:color w:val="000000" w:themeColor="text1"/>
                <w:sz w:val="18"/>
                <w:szCs w:val="18"/>
                <w:lang w:val="en-US"/>
              </w:rPr>
            </w:pPr>
            <w:r w:rsidRPr="00AB1CF4">
              <w:rPr>
                <w:rFonts w:cstheme="minorHAnsi"/>
                <w:bCs/>
                <w:color w:val="000000" w:themeColor="text1"/>
                <w:sz w:val="18"/>
                <w:szCs w:val="18"/>
                <w:lang w:val="en-US"/>
              </w:rPr>
              <w:t>Mariage forcé</w:t>
            </w:r>
          </w:p>
        </w:tc>
        <w:tc>
          <w:tcPr>
            <w:tcW w:w="1276" w:type="dxa"/>
            <w:tcBorders>
              <w:left w:val="single" w:sz="4" w:space="0" w:color="4472C4" w:themeColor="accent1"/>
            </w:tcBorders>
            <w:shd w:val="clear" w:color="auto" w:fill="auto"/>
            <w:vAlign w:val="center"/>
          </w:tcPr>
          <w:p w14:paraId="461B4477" w14:textId="77777777" w:rsidR="00E02032" w:rsidRPr="00AB1CF4" w:rsidRDefault="00E02032" w:rsidP="00233C12">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US"/>
              </w:rPr>
            </w:pPr>
            <w:r w:rsidRPr="00AB1CF4">
              <w:rPr>
                <w:rFonts w:cstheme="minorHAnsi"/>
                <w:color w:val="000000" w:themeColor="text1"/>
                <w:sz w:val="18"/>
                <w:szCs w:val="18"/>
                <w:lang w:val="en-US"/>
              </w:rPr>
              <w:t>42 %</w:t>
            </w:r>
          </w:p>
        </w:tc>
        <w:tc>
          <w:tcPr>
            <w:tcW w:w="1276" w:type="dxa"/>
            <w:shd w:val="clear" w:color="auto" w:fill="auto"/>
            <w:vAlign w:val="center"/>
          </w:tcPr>
          <w:p w14:paraId="1F1E73B5" w14:textId="77777777" w:rsidR="00E02032" w:rsidRPr="00AB1CF4" w:rsidRDefault="00E02032" w:rsidP="00233C12">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US"/>
              </w:rPr>
            </w:pPr>
            <w:r w:rsidRPr="00AB1CF4">
              <w:rPr>
                <w:rFonts w:cstheme="minorHAnsi"/>
                <w:color w:val="000000" w:themeColor="text1"/>
                <w:sz w:val="18"/>
                <w:szCs w:val="18"/>
                <w:lang w:val="en-US"/>
              </w:rPr>
              <w:t>1%</w:t>
            </w:r>
          </w:p>
        </w:tc>
        <w:tc>
          <w:tcPr>
            <w:tcW w:w="1417" w:type="dxa"/>
            <w:shd w:val="clear" w:color="auto" w:fill="auto"/>
            <w:vAlign w:val="center"/>
          </w:tcPr>
          <w:p w14:paraId="6E499E80" w14:textId="77777777" w:rsidR="00E02032" w:rsidRPr="00AB1CF4" w:rsidRDefault="00E02032" w:rsidP="00233C12">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US"/>
              </w:rPr>
            </w:pPr>
          </w:p>
        </w:tc>
        <w:tc>
          <w:tcPr>
            <w:tcW w:w="1559" w:type="dxa"/>
            <w:shd w:val="clear" w:color="auto" w:fill="auto"/>
            <w:vAlign w:val="center"/>
          </w:tcPr>
          <w:p w14:paraId="195273BD" w14:textId="77777777" w:rsidR="00E02032" w:rsidRPr="00AB1CF4" w:rsidRDefault="00E02032" w:rsidP="00233C12">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US"/>
              </w:rPr>
            </w:pPr>
            <w:r w:rsidRPr="00AB1CF4">
              <w:rPr>
                <w:rFonts w:cstheme="minorHAnsi"/>
                <w:color w:val="000000" w:themeColor="text1"/>
                <w:sz w:val="18"/>
                <w:szCs w:val="18"/>
                <w:lang w:val="en-US"/>
              </w:rPr>
              <w:t>1 %</w:t>
            </w:r>
          </w:p>
        </w:tc>
        <w:tc>
          <w:tcPr>
            <w:tcW w:w="1134" w:type="dxa"/>
            <w:shd w:val="clear" w:color="auto" w:fill="auto"/>
            <w:vAlign w:val="center"/>
          </w:tcPr>
          <w:p w14:paraId="0B2EC80B" w14:textId="77777777" w:rsidR="00E02032" w:rsidRPr="00AB1CF4" w:rsidRDefault="00E02032" w:rsidP="00233C12">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US"/>
              </w:rPr>
            </w:pPr>
          </w:p>
        </w:tc>
        <w:tc>
          <w:tcPr>
            <w:tcW w:w="851" w:type="dxa"/>
            <w:tcBorders>
              <w:right w:val="single" w:sz="4" w:space="0" w:color="4472C4" w:themeColor="accent1"/>
            </w:tcBorders>
            <w:shd w:val="clear" w:color="auto" w:fill="auto"/>
            <w:vAlign w:val="center"/>
          </w:tcPr>
          <w:p w14:paraId="1CBD122F" w14:textId="77777777" w:rsidR="00E02032" w:rsidRPr="00AB1CF4" w:rsidRDefault="00E02032" w:rsidP="00233C12">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US"/>
              </w:rPr>
            </w:pPr>
          </w:p>
        </w:tc>
      </w:tr>
      <w:tr w:rsidR="00E02032" w:rsidRPr="00AB1CF4" w14:paraId="101845AF" w14:textId="77777777" w:rsidTr="00233C12">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75EE477E" w14:textId="77777777" w:rsidR="00E02032" w:rsidRPr="00AB1CF4" w:rsidRDefault="00E02032" w:rsidP="00233C12">
            <w:pPr>
              <w:jc w:val="center"/>
              <w:rPr>
                <w:rFonts w:cstheme="minorHAnsi"/>
                <w:bCs/>
                <w:color w:val="000000" w:themeColor="text1"/>
                <w:sz w:val="18"/>
                <w:szCs w:val="18"/>
                <w:lang w:val="en-US"/>
              </w:rPr>
            </w:pPr>
            <w:r w:rsidRPr="00AB1CF4">
              <w:rPr>
                <w:rFonts w:cstheme="minorHAnsi"/>
                <w:bCs/>
                <w:color w:val="000000" w:themeColor="text1"/>
                <w:sz w:val="18"/>
                <w:szCs w:val="18"/>
                <w:lang w:val="en-US"/>
              </w:rPr>
              <w:t>Mariage précoce</w:t>
            </w:r>
          </w:p>
        </w:tc>
        <w:tc>
          <w:tcPr>
            <w:tcW w:w="1276" w:type="dxa"/>
            <w:tcBorders>
              <w:left w:val="single" w:sz="4" w:space="0" w:color="4472C4" w:themeColor="accent1"/>
            </w:tcBorders>
            <w:shd w:val="clear" w:color="auto" w:fill="E7E6E6" w:themeFill="background2"/>
            <w:vAlign w:val="center"/>
          </w:tcPr>
          <w:p w14:paraId="5139A82E" w14:textId="77777777" w:rsidR="00E02032" w:rsidRPr="00AB1CF4" w:rsidRDefault="00E02032" w:rsidP="00233C12">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US"/>
              </w:rPr>
            </w:pPr>
            <w:r w:rsidRPr="00AB1CF4">
              <w:rPr>
                <w:rFonts w:cstheme="minorHAnsi"/>
                <w:color w:val="000000" w:themeColor="text1"/>
                <w:sz w:val="18"/>
                <w:szCs w:val="18"/>
                <w:lang w:val="en-US"/>
              </w:rPr>
              <w:t>49 %</w:t>
            </w:r>
          </w:p>
        </w:tc>
        <w:tc>
          <w:tcPr>
            <w:tcW w:w="1276" w:type="dxa"/>
            <w:shd w:val="clear" w:color="auto" w:fill="E7E6E6" w:themeFill="background2"/>
            <w:vAlign w:val="center"/>
          </w:tcPr>
          <w:p w14:paraId="2BF5CCD8" w14:textId="77777777" w:rsidR="00E02032" w:rsidRPr="00AB1CF4" w:rsidRDefault="00E02032" w:rsidP="00233C12">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US"/>
              </w:rPr>
            </w:pPr>
          </w:p>
        </w:tc>
        <w:tc>
          <w:tcPr>
            <w:tcW w:w="1417" w:type="dxa"/>
            <w:shd w:val="clear" w:color="auto" w:fill="E7E6E6" w:themeFill="background2"/>
            <w:vAlign w:val="center"/>
          </w:tcPr>
          <w:p w14:paraId="0FC05609" w14:textId="77777777" w:rsidR="00E02032" w:rsidRPr="00AB1CF4" w:rsidRDefault="00E02032" w:rsidP="00233C12">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US"/>
              </w:rPr>
            </w:pPr>
          </w:p>
        </w:tc>
        <w:tc>
          <w:tcPr>
            <w:tcW w:w="1559" w:type="dxa"/>
            <w:shd w:val="clear" w:color="auto" w:fill="E7E6E6" w:themeFill="background2"/>
            <w:vAlign w:val="center"/>
          </w:tcPr>
          <w:p w14:paraId="60B14965" w14:textId="77777777" w:rsidR="00E02032" w:rsidRPr="00AB1CF4" w:rsidRDefault="00E02032" w:rsidP="00233C12">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US"/>
              </w:rPr>
            </w:pPr>
          </w:p>
        </w:tc>
        <w:tc>
          <w:tcPr>
            <w:tcW w:w="1134" w:type="dxa"/>
            <w:shd w:val="clear" w:color="auto" w:fill="E7E6E6" w:themeFill="background2"/>
            <w:vAlign w:val="center"/>
          </w:tcPr>
          <w:p w14:paraId="0C599564" w14:textId="77777777" w:rsidR="00E02032" w:rsidRPr="00AB1CF4" w:rsidRDefault="00E02032" w:rsidP="00233C12">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US"/>
              </w:rPr>
            </w:pPr>
          </w:p>
        </w:tc>
        <w:tc>
          <w:tcPr>
            <w:tcW w:w="851" w:type="dxa"/>
            <w:tcBorders>
              <w:right w:val="single" w:sz="4" w:space="0" w:color="4472C4" w:themeColor="accent1"/>
            </w:tcBorders>
            <w:shd w:val="clear" w:color="auto" w:fill="E7E6E6" w:themeFill="background2"/>
            <w:vAlign w:val="center"/>
          </w:tcPr>
          <w:p w14:paraId="63C4CDCE" w14:textId="77777777" w:rsidR="00E02032" w:rsidRPr="00AB1CF4" w:rsidRDefault="00E02032" w:rsidP="00233C12">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US"/>
              </w:rPr>
            </w:pPr>
            <w:r w:rsidRPr="00AB1CF4">
              <w:rPr>
                <w:rFonts w:cstheme="minorHAnsi"/>
                <w:color w:val="000000" w:themeColor="text1"/>
                <w:sz w:val="18"/>
                <w:szCs w:val="18"/>
                <w:lang w:val="en-US"/>
              </w:rPr>
              <w:t>60 %</w:t>
            </w:r>
          </w:p>
        </w:tc>
      </w:tr>
      <w:tr w:rsidR="00E02032" w:rsidRPr="00AB1CF4" w14:paraId="1834A653" w14:textId="77777777" w:rsidTr="00233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0E3608FE" w14:textId="77777777" w:rsidR="00E02032" w:rsidRPr="00AB1CF4" w:rsidRDefault="00E02032" w:rsidP="00233C12">
            <w:pPr>
              <w:jc w:val="center"/>
              <w:rPr>
                <w:rFonts w:cstheme="minorHAnsi"/>
                <w:bCs/>
                <w:color w:val="000000" w:themeColor="text1"/>
                <w:sz w:val="18"/>
                <w:szCs w:val="18"/>
                <w:lang w:val="en-US"/>
              </w:rPr>
            </w:pPr>
            <w:r w:rsidRPr="00AB1CF4">
              <w:rPr>
                <w:rFonts w:cstheme="minorHAnsi"/>
                <w:bCs/>
                <w:color w:val="000000" w:themeColor="text1"/>
                <w:sz w:val="18"/>
                <w:szCs w:val="18"/>
                <w:lang w:val="en-US"/>
              </w:rPr>
              <w:t>Mutilations Génitales Féminines</w:t>
            </w:r>
          </w:p>
        </w:tc>
        <w:tc>
          <w:tcPr>
            <w:tcW w:w="1276" w:type="dxa"/>
            <w:tcBorders>
              <w:left w:val="single" w:sz="4" w:space="0" w:color="4472C4" w:themeColor="accent1"/>
              <w:bottom w:val="single" w:sz="4" w:space="0" w:color="4472C4" w:themeColor="accent1"/>
            </w:tcBorders>
            <w:shd w:val="clear" w:color="auto" w:fill="auto"/>
            <w:vAlign w:val="center"/>
          </w:tcPr>
          <w:p w14:paraId="4A03B783" w14:textId="77777777" w:rsidR="00E02032" w:rsidRPr="00AB1CF4" w:rsidRDefault="00E02032" w:rsidP="00233C12">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US"/>
              </w:rPr>
            </w:pPr>
          </w:p>
        </w:tc>
        <w:tc>
          <w:tcPr>
            <w:tcW w:w="1276" w:type="dxa"/>
            <w:tcBorders>
              <w:bottom w:val="single" w:sz="4" w:space="0" w:color="4472C4" w:themeColor="accent1"/>
            </w:tcBorders>
            <w:shd w:val="clear" w:color="auto" w:fill="auto"/>
            <w:vAlign w:val="center"/>
          </w:tcPr>
          <w:p w14:paraId="0BA4021F" w14:textId="77777777" w:rsidR="00E02032" w:rsidRPr="00AB1CF4" w:rsidRDefault="00E02032" w:rsidP="00233C12">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US"/>
              </w:rPr>
            </w:pPr>
          </w:p>
        </w:tc>
        <w:tc>
          <w:tcPr>
            <w:tcW w:w="1417" w:type="dxa"/>
            <w:tcBorders>
              <w:bottom w:val="single" w:sz="4" w:space="0" w:color="4472C4" w:themeColor="accent1"/>
            </w:tcBorders>
            <w:shd w:val="clear" w:color="auto" w:fill="auto"/>
            <w:vAlign w:val="center"/>
          </w:tcPr>
          <w:p w14:paraId="2DF21776" w14:textId="77777777" w:rsidR="00E02032" w:rsidRPr="00AB1CF4" w:rsidRDefault="00E02032" w:rsidP="00233C12">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US"/>
              </w:rPr>
            </w:pPr>
          </w:p>
        </w:tc>
        <w:tc>
          <w:tcPr>
            <w:tcW w:w="1559" w:type="dxa"/>
            <w:tcBorders>
              <w:bottom w:val="single" w:sz="4" w:space="0" w:color="4472C4" w:themeColor="accent1"/>
            </w:tcBorders>
            <w:shd w:val="clear" w:color="auto" w:fill="auto"/>
            <w:vAlign w:val="center"/>
          </w:tcPr>
          <w:p w14:paraId="3B7AC62F" w14:textId="77777777" w:rsidR="00E02032" w:rsidRPr="00AB1CF4" w:rsidRDefault="00E02032" w:rsidP="00233C12">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US"/>
              </w:rPr>
            </w:pPr>
          </w:p>
        </w:tc>
        <w:tc>
          <w:tcPr>
            <w:tcW w:w="1134" w:type="dxa"/>
            <w:tcBorders>
              <w:bottom w:val="single" w:sz="4" w:space="0" w:color="4472C4" w:themeColor="accent1"/>
            </w:tcBorders>
            <w:shd w:val="clear" w:color="auto" w:fill="auto"/>
            <w:vAlign w:val="center"/>
          </w:tcPr>
          <w:p w14:paraId="7011DB61" w14:textId="77777777" w:rsidR="00E02032" w:rsidRPr="00AB1CF4" w:rsidRDefault="00E02032" w:rsidP="00233C12">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US"/>
              </w:rPr>
            </w:pPr>
          </w:p>
        </w:tc>
        <w:tc>
          <w:tcPr>
            <w:tcW w:w="851" w:type="dxa"/>
            <w:tcBorders>
              <w:bottom w:val="single" w:sz="4" w:space="0" w:color="4472C4" w:themeColor="accent1"/>
              <w:right w:val="single" w:sz="4" w:space="0" w:color="4472C4" w:themeColor="accent1"/>
            </w:tcBorders>
            <w:shd w:val="clear" w:color="auto" w:fill="auto"/>
            <w:vAlign w:val="center"/>
          </w:tcPr>
          <w:p w14:paraId="7819FE10" w14:textId="77777777" w:rsidR="00E02032" w:rsidRPr="00AB1CF4" w:rsidRDefault="00E02032" w:rsidP="00233C12">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US"/>
              </w:rPr>
            </w:pPr>
            <w:r w:rsidRPr="00AB1CF4">
              <w:rPr>
                <w:rFonts w:cstheme="minorHAnsi"/>
                <w:color w:val="000000" w:themeColor="text1"/>
                <w:sz w:val="18"/>
                <w:szCs w:val="18"/>
                <w:lang w:val="en-US"/>
              </w:rPr>
              <w:t>24 %</w:t>
            </w:r>
          </w:p>
        </w:tc>
      </w:tr>
    </w:tbl>
    <w:p w14:paraId="36DD7108" w14:textId="77777777" w:rsidR="00E02032" w:rsidRPr="00C32506" w:rsidRDefault="00E02032" w:rsidP="00E02032">
      <w:pPr>
        <w:autoSpaceDE w:val="0"/>
        <w:autoSpaceDN w:val="0"/>
        <w:adjustRightInd w:val="0"/>
        <w:jc w:val="both"/>
        <w:rPr>
          <w:rFonts w:cstheme="minorHAnsi"/>
        </w:rPr>
      </w:pPr>
      <w:r w:rsidRPr="00AB1CF4">
        <w:rPr>
          <w:rFonts w:cstheme="minorHAnsi"/>
        </w:rPr>
        <w:t xml:space="preserve">          </w:t>
      </w:r>
      <w:r>
        <w:rPr>
          <w:rFonts w:ascii="Calibri Light" w:hAnsi="Calibri Light" w:cs="Calibri Light"/>
          <w:color w:val="000000"/>
        </w:rPr>
        <w:t> </w:t>
      </w:r>
    </w:p>
    <w:p w14:paraId="68460031" w14:textId="77777777" w:rsidR="00E02032" w:rsidRPr="006B25B8" w:rsidRDefault="00E02032" w:rsidP="00E02032">
      <w:pPr>
        <w:pStyle w:val="NormalWeb"/>
        <w:spacing w:before="0" w:beforeAutospacing="0" w:after="0" w:afterAutospacing="0"/>
        <w:jc w:val="both"/>
        <w:rPr>
          <w:rFonts w:asciiTheme="minorHAnsi" w:hAnsiTheme="minorHAnsi" w:cstheme="minorHAnsi"/>
          <w:color w:val="000000"/>
          <w:sz w:val="22"/>
          <w:szCs w:val="22"/>
        </w:rPr>
      </w:pPr>
      <w:r>
        <w:rPr>
          <w:rFonts w:ascii="Calibri Light" w:hAnsi="Calibri Light" w:cs="Calibri Light"/>
          <w:color w:val="000000"/>
          <w:sz w:val="22"/>
          <w:szCs w:val="22"/>
        </w:rPr>
        <w:t>L</w:t>
      </w:r>
      <w:r w:rsidRPr="006B25B8">
        <w:rPr>
          <w:rFonts w:asciiTheme="minorHAnsi" w:hAnsiTheme="minorHAnsi" w:cstheme="minorHAnsi"/>
          <w:color w:val="000000"/>
          <w:sz w:val="22"/>
          <w:szCs w:val="22"/>
        </w:rPr>
        <w:t>es données les plus récentes disponibles sur la </w:t>
      </w:r>
      <w:r w:rsidRPr="006B25B8">
        <w:rPr>
          <w:rFonts w:asciiTheme="minorHAnsi" w:hAnsiTheme="minorHAnsi" w:cstheme="minorHAnsi"/>
          <w:b/>
          <w:bCs/>
          <w:color w:val="000000"/>
          <w:sz w:val="22"/>
          <w:szCs w:val="22"/>
        </w:rPr>
        <w:t>protection contre la violence et l'exploitation </w:t>
      </w:r>
      <w:r w:rsidRPr="006B25B8">
        <w:rPr>
          <w:rFonts w:asciiTheme="minorHAnsi" w:hAnsiTheme="minorHAnsi" w:cstheme="minorHAnsi"/>
          <w:color w:val="000000"/>
          <w:sz w:val="22"/>
          <w:szCs w:val="22"/>
        </w:rPr>
        <w:t>ont été publiées dans le MICS6-RCA (2018-2019)</w:t>
      </w:r>
      <w:bookmarkStart w:id="15" w:name="_ftnref10"/>
      <w:bookmarkEnd w:id="15"/>
      <w:r w:rsidRPr="006B25B8">
        <w:rPr>
          <w:rStyle w:val="FootnoteReference"/>
          <w:rFonts w:asciiTheme="minorHAnsi" w:hAnsiTheme="minorHAnsi" w:cstheme="minorHAnsi"/>
          <w:color w:val="000000"/>
          <w:sz w:val="22"/>
          <w:szCs w:val="22"/>
        </w:rPr>
        <w:footnoteReference w:id="14"/>
      </w:r>
      <w:r w:rsidRPr="006B25B8">
        <w:rPr>
          <w:rFonts w:asciiTheme="minorHAnsi" w:hAnsiTheme="minorHAnsi" w:cstheme="minorHAnsi"/>
          <w:color w:val="000000"/>
          <w:sz w:val="22"/>
          <w:szCs w:val="22"/>
        </w:rPr>
        <w:t xml:space="preserve"> où l'on peut trouver des statistiques sur le mariage des enfants , les mutilations génitales féminines / excision ( MGF) et l</w:t>
      </w:r>
      <w:r>
        <w:rPr>
          <w:rFonts w:asciiTheme="minorHAnsi" w:hAnsiTheme="minorHAnsi" w:cstheme="minorHAnsi"/>
          <w:color w:val="000000"/>
          <w:sz w:val="22"/>
          <w:szCs w:val="22"/>
        </w:rPr>
        <w:t>es hauts niveaux de</w:t>
      </w:r>
      <w:r w:rsidRPr="006B25B8">
        <w:rPr>
          <w:rFonts w:asciiTheme="minorHAnsi" w:hAnsiTheme="minorHAnsi" w:cstheme="minorHAnsi"/>
          <w:color w:val="000000"/>
          <w:sz w:val="22"/>
          <w:szCs w:val="22"/>
        </w:rPr>
        <w:t xml:space="preserve"> tolérance à l'égard des femmes battues, mais l'enquête ne fournit pas </w:t>
      </w:r>
      <w:r>
        <w:rPr>
          <w:rFonts w:asciiTheme="minorHAnsi" w:hAnsiTheme="minorHAnsi" w:cstheme="minorHAnsi"/>
          <w:color w:val="000000"/>
          <w:sz w:val="22"/>
          <w:szCs w:val="22"/>
        </w:rPr>
        <w:t>de</w:t>
      </w:r>
      <w:r w:rsidRPr="006B25B8">
        <w:rPr>
          <w:rFonts w:asciiTheme="minorHAnsi" w:hAnsiTheme="minorHAnsi" w:cstheme="minorHAnsi"/>
          <w:color w:val="000000"/>
          <w:sz w:val="22"/>
          <w:szCs w:val="22"/>
        </w:rPr>
        <w:t xml:space="preserve"> description complète des différents types de VBG prévalant en RCA .</w:t>
      </w:r>
    </w:p>
    <w:p w14:paraId="60825228" w14:textId="77777777" w:rsidR="00E02032" w:rsidRPr="006B25B8" w:rsidRDefault="00E02032" w:rsidP="00E02032">
      <w:pPr>
        <w:pStyle w:val="NormalWeb"/>
        <w:spacing w:before="0" w:beforeAutospacing="0" w:after="0" w:afterAutospacing="0"/>
        <w:jc w:val="both"/>
        <w:rPr>
          <w:rFonts w:asciiTheme="minorHAnsi" w:hAnsiTheme="minorHAnsi" w:cstheme="minorHAnsi"/>
          <w:color w:val="000000"/>
          <w:sz w:val="27"/>
          <w:szCs w:val="27"/>
        </w:rPr>
      </w:pPr>
    </w:p>
    <w:p w14:paraId="0296BA20" w14:textId="77777777" w:rsidR="00E02032" w:rsidRPr="006B25B8" w:rsidRDefault="00E02032" w:rsidP="00E02032">
      <w:pPr>
        <w:pStyle w:val="NormalWeb"/>
        <w:spacing w:before="0" w:beforeAutospacing="0" w:after="0" w:afterAutospacing="0"/>
        <w:jc w:val="both"/>
        <w:rPr>
          <w:rFonts w:asciiTheme="minorHAnsi" w:hAnsiTheme="minorHAnsi" w:cstheme="minorHAnsi"/>
          <w:color w:val="000000"/>
          <w:sz w:val="27"/>
          <w:szCs w:val="27"/>
        </w:rPr>
      </w:pPr>
      <w:r w:rsidRPr="006B25B8">
        <w:rPr>
          <w:rFonts w:asciiTheme="minorHAnsi" w:hAnsiTheme="minorHAnsi" w:cstheme="minorHAnsi"/>
          <w:color w:val="000000"/>
          <w:sz w:val="22"/>
          <w:szCs w:val="22"/>
        </w:rPr>
        <w:t>Les données les plus récentes sur les incidents collectés par les prestataires de services de VBG au cours du deuxième trimestre 2020 avec les outils GBVIMS</w:t>
      </w:r>
      <w:bookmarkStart w:id="16" w:name="_ftnref11"/>
      <w:bookmarkEnd w:id="16"/>
      <w:r w:rsidRPr="006B25B8">
        <w:rPr>
          <w:rFonts w:asciiTheme="minorHAnsi" w:hAnsiTheme="minorHAnsi" w:cstheme="minorHAnsi"/>
          <w:color w:val="000000"/>
          <w:sz w:val="27"/>
          <w:szCs w:val="27"/>
        </w:rPr>
        <w:t xml:space="preserve"> </w:t>
      </w:r>
      <w:r w:rsidRPr="006B25B8">
        <w:rPr>
          <w:rFonts w:asciiTheme="minorHAnsi" w:hAnsiTheme="minorHAnsi" w:cstheme="minorHAnsi"/>
          <w:color w:val="000000"/>
          <w:sz w:val="22"/>
          <w:szCs w:val="22"/>
        </w:rPr>
        <w:t>montrent les tendances suivantes</w:t>
      </w:r>
      <w:r w:rsidRPr="006B25B8">
        <w:rPr>
          <w:rStyle w:val="FootnoteReference"/>
          <w:rFonts w:asciiTheme="minorHAnsi" w:hAnsiTheme="minorHAnsi" w:cstheme="minorHAnsi"/>
          <w:color w:val="000000"/>
          <w:sz w:val="22"/>
          <w:szCs w:val="22"/>
        </w:rPr>
        <w:footnoteReference w:id="15"/>
      </w:r>
      <w:r w:rsidRPr="006B25B8">
        <w:rPr>
          <w:rFonts w:asciiTheme="minorHAnsi" w:hAnsiTheme="minorHAnsi" w:cstheme="minorHAnsi"/>
          <w:color w:val="000000"/>
          <w:sz w:val="22"/>
          <w:szCs w:val="22"/>
        </w:rPr>
        <w:t>:</w:t>
      </w:r>
    </w:p>
    <w:p w14:paraId="6B6F1F2F" w14:textId="77777777" w:rsidR="00E02032" w:rsidRPr="006B25B8" w:rsidRDefault="00E02032" w:rsidP="00E02032">
      <w:pPr>
        <w:pStyle w:val="NormalWeb"/>
        <w:spacing w:before="0" w:beforeAutospacing="0" w:after="0" w:afterAutospacing="0"/>
        <w:jc w:val="both"/>
        <w:rPr>
          <w:rFonts w:asciiTheme="minorHAnsi" w:hAnsiTheme="minorHAnsi" w:cstheme="minorHAnsi"/>
          <w:color w:val="000000"/>
          <w:sz w:val="27"/>
          <w:szCs w:val="27"/>
        </w:rPr>
      </w:pPr>
      <w:r w:rsidRPr="006B25B8">
        <w:rPr>
          <w:rFonts w:asciiTheme="minorHAnsi" w:hAnsiTheme="minorHAnsi" w:cstheme="minorHAnsi"/>
          <w:color w:val="000000"/>
          <w:sz w:val="22"/>
          <w:szCs w:val="22"/>
        </w:rPr>
        <w:t> </w:t>
      </w:r>
    </w:p>
    <w:p w14:paraId="210C4BCF" w14:textId="77777777" w:rsidR="00E02032" w:rsidRPr="006B25B8" w:rsidRDefault="00E02032" w:rsidP="00E02032">
      <w:pPr>
        <w:pStyle w:val="ListParagraph"/>
        <w:numPr>
          <w:ilvl w:val="0"/>
          <w:numId w:val="23"/>
        </w:numPr>
        <w:spacing w:after="0" w:line="240" w:lineRule="auto"/>
        <w:jc w:val="both"/>
        <w:rPr>
          <w:rFonts w:cstheme="minorHAnsi"/>
          <w:color w:val="000000"/>
        </w:rPr>
      </w:pPr>
      <w:r w:rsidRPr="006B25B8">
        <w:rPr>
          <w:rFonts w:cstheme="minorHAnsi"/>
          <w:b/>
          <w:bCs/>
          <w:color w:val="000000"/>
        </w:rPr>
        <w:t xml:space="preserve">2904 </w:t>
      </w:r>
      <w:r w:rsidRPr="006B25B8">
        <w:rPr>
          <w:rFonts w:cstheme="minorHAnsi"/>
          <w:color w:val="000000"/>
        </w:rPr>
        <w:t xml:space="preserve">incidents ont été enregistrés dont </w:t>
      </w:r>
      <w:r w:rsidRPr="006B25B8">
        <w:rPr>
          <w:rFonts w:cstheme="minorHAnsi"/>
          <w:b/>
          <w:bCs/>
          <w:color w:val="000000"/>
        </w:rPr>
        <w:t>668</w:t>
      </w:r>
      <w:r w:rsidRPr="006B25B8">
        <w:rPr>
          <w:rFonts w:cstheme="minorHAnsi"/>
          <w:color w:val="000000"/>
        </w:rPr>
        <w:t xml:space="preserve"> incidents de violence sexuelle (d’avril à juin 2020)</w:t>
      </w:r>
    </w:p>
    <w:p w14:paraId="6FC506CF" w14:textId="77777777" w:rsidR="00E02032" w:rsidRPr="006B25B8" w:rsidRDefault="00E02032" w:rsidP="00E02032">
      <w:pPr>
        <w:pStyle w:val="ListParagraph"/>
        <w:numPr>
          <w:ilvl w:val="0"/>
          <w:numId w:val="23"/>
        </w:numPr>
        <w:spacing w:after="0" w:line="240" w:lineRule="auto"/>
        <w:jc w:val="both"/>
        <w:rPr>
          <w:rFonts w:cstheme="minorHAnsi"/>
          <w:color w:val="000000"/>
        </w:rPr>
      </w:pPr>
      <w:r w:rsidRPr="006B25B8">
        <w:rPr>
          <w:rFonts w:cstheme="minorHAnsi"/>
          <w:b/>
          <w:bCs/>
          <w:color w:val="000000"/>
        </w:rPr>
        <w:t>92%</w:t>
      </w:r>
      <w:r w:rsidRPr="006B25B8">
        <w:rPr>
          <w:rFonts w:cstheme="minorHAnsi"/>
          <w:color w:val="000000"/>
        </w:rPr>
        <w:t xml:space="preserve"> des survivants étaient des femmes et des filles</w:t>
      </w:r>
    </w:p>
    <w:p w14:paraId="74A31F65" w14:textId="77777777" w:rsidR="00E02032" w:rsidRPr="006B25B8" w:rsidRDefault="00E02032" w:rsidP="00E02032">
      <w:pPr>
        <w:pStyle w:val="ListParagraph"/>
        <w:numPr>
          <w:ilvl w:val="0"/>
          <w:numId w:val="23"/>
        </w:numPr>
        <w:spacing w:after="0" w:line="240" w:lineRule="auto"/>
        <w:jc w:val="both"/>
        <w:rPr>
          <w:rFonts w:cstheme="minorHAnsi"/>
          <w:color w:val="000000"/>
        </w:rPr>
      </w:pPr>
      <w:r w:rsidRPr="006B25B8">
        <w:rPr>
          <w:rFonts w:cstheme="minorHAnsi"/>
          <w:color w:val="000000"/>
        </w:rPr>
        <w:t>Les femmes et les enfants ont été les plus touchés par la VBG et la violence sexuelle</w:t>
      </w:r>
    </w:p>
    <w:p w14:paraId="30F84A9F" w14:textId="77777777" w:rsidR="00E02032" w:rsidRPr="006B25B8" w:rsidRDefault="00E02032" w:rsidP="00E02032">
      <w:pPr>
        <w:pStyle w:val="ListParagraph"/>
        <w:numPr>
          <w:ilvl w:val="0"/>
          <w:numId w:val="23"/>
        </w:numPr>
        <w:spacing w:after="0" w:line="240" w:lineRule="auto"/>
        <w:jc w:val="both"/>
        <w:rPr>
          <w:rFonts w:cstheme="minorHAnsi"/>
          <w:color w:val="000000"/>
        </w:rPr>
      </w:pPr>
      <w:r w:rsidRPr="006B25B8">
        <w:rPr>
          <w:rFonts w:cstheme="minorHAnsi"/>
          <w:b/>
          <w:bCs/>
          <w:color w:val="000000"/>
        </w:rPr>
        <w:t xml:space="preserve">82% </w:t>
      </w:r>
      <w:r w:rsidRPr="006B25B8">
        <w:rPr>
          <w:rFonts w:cstheme="minorHAnsi"/>
          <w:color w:val="000000"/>
        </w:rPr>
        <w:t>des incidents se produisent sur le lieu de résidence des survivant.es tandis que 16% des survivant.es étaient en situation de déplacement</w:t>
      </w:r>
    </w:p>
    <w:p w14:paraId="40538303" w14:textId="77777777" w:rsidR="00E02032" w:rsidRPr="006B25B8" w:rsidRDefault="00E02032" w:rsidP="00E02032">
      <w:pPr>
        <w:pStyle w:val="ListParagraph"/>
        <w:numPr>
          <w:ilvl w:val="0"/>
          <w:numId w:val="23"/>
        </w:numPr>
        <w:spacing w:after="0" w:line="240" w:lineRule="auto"/>
        <w:jc w:val="both"/>
        <w:rPr>
          <w:rFonts w:cstheme="minorHAnsi"/>
          <w:color w:val="000000"/>
        </w:rPr>
      </w:pPr>
      <w:r w:rsidRPr="006B25B8">
        <w:rPr>
          <w:rFonts w:cstheme="minorHAnsi"/>
          <w:b/>
          <w:bCs/>
          <w:color w:val="000000"/>
        </w:rPr>
        <w:t>63%</w:t>
      </w:r>
      <w:r w:rsidRPr="006B25B8">
        <w:rPr>
          <w:rFonts w:cstheme="minorHAnsi"/>
          <w:color w:val="000000"/>
        </w:rPr>
        <w:t xml:space="preserve"> des auteurs présumés étaient des partenaires ou ex - partenaires un chiffre qui illustrent un nombre très élevé est de la </w:t>
      </w:r>
      <w:r w:rsidRPr="006B25B8">
        <w:rPr>
          <w:rFonts w:cstheme="minorHAnsi"/>
          <w:b/>
          <w:bCs/>
          <w:color w:val="000000"/>
        </w:rPr>
        <w:t>violence conjugale</w:t>
      </w:r>
    </w:p>
    <w:p w14:paraId="5ED5EE58" w14:textId="77777777" w:rsidR="00E02032" w:rsidRDefault="00E02032" w:rsidP="00E02032">
      <w:pPr>
        <w:pStyle w:val="ListParagraph"/>
        <w:numPr>
          <w:ilvl w:val="0"/>
          <w:numId w:val="23"/>
        </w:numPr>
        <w:spacing w:after="0" w:line="240" w:lineRule="auto"/>
        <w:jc w:val="both"/>
        <w:rPr>
          <w:rFonts w:cstheme="minorHAnsi"/>
          <w:color w:val="000000"/>
        </w:rPr>
      </w:pPr>
      <w:r w:rsidRPr="006B25B8">
        <w:rPr>
          <w:rFonts w:cstheme="minorHAnsi"/>
          <w:color w:val="000000"/>
        </w:rPr>
        <w:t>Concernant les données relatives aux auteurs présumés, leurs occupations sont « agriculteur» (30%); «inconnue» (16%); «sans emploi» (10%); «commerçant-propriétaire d'entreprise» (10%); «membre d’un groupe armé» (9%), «berger» (6%); suivis des étudiants, des chauffeurs, des chasseurs, des fonctionnaires, des mineurs, des Nations Unies / ONG / OSC, de la police et des enseignants.</w:t>
      </w:r>
    </w:p>
    <w:p w14:paraId="50258128" w14:textId="77777777" w:rsidR="00E02032" w:rsidRDefault="00E02032" w:rsidP="00E02032">
      <w:pPr>
        <w:spacing w:after="0" w:line="240" w:lineRule="auto"/>
        <w:jc w:val="both"/>
        <w:rPr>
          <w:rFonts w:cstheme="minorHAnsi"/>
          <w:color w:val="000000"/>
        </w:rPr>
      </w:pPr>
    </w:p>
    <w:p w14:paraId="49D8B78B" w14:textId="77777777" w:rsidR="00E02032" w:rsidRPr="00EB5554" w:rsidRDefault="00E02032" w:rsidP="00E02032">
      <w:pPr>
        <w:spacing w:after="0" w:line="240" w:lineRule="auto"/>
        <w:jc w:val="both"/>
        <w:rPr>
          <w:color w:val="000000"/>
        </w:rPr>
      </w:pPr>
      <w:r w:rsidRPr="008A4069">
        <w:rPr>
          <w:b/>
          <w:bCs/>
          <w:color w:val="000000"/>
        </w:rPr>
        <w:t>La violence entre partenaires intimes</w:t>
      </w:r>
      <w:r w:rsidRPr="00EB5554">
        <w:rPr>
          <w:color w:val="000000"/>
        </w:rPr>
        <w:t xml:space="preserve"> définie comme tout type de violence (physique, sexuelle, psychologique et / ou économique) commise par le mari ou le partenaire actuel ou précédent semble être une pratique universellement tolérée en </w:t>
      </w:r>
      <w:r>
        <w:rPr>
          <w:rFonts w:cstheme="minorHAnsi"/>
          <w:color w:val="000000"/>
        </w:rPr>
        <w:t>République centrafricaine</w:t>
      </w:r>
      <w:r w:rsidRPr="00EB5554">
        <w:rPr>
          <w:color w:val="000000"/>
        </w:rPr>
        <w:t xml:space="preserve"> car la majorité des femmes (64 </w:t>
      </w:r>
      <w:r>
        <w:rPr>
          <w:color w:val="000000"/>
        </w:rPr>
        <w:t>%</w:t>
      </w:r>
      <w:r w:rsidRPr="00EB5554">
        <w:rPr>
          <w:color w:val="000000"/>
        </w:rPr>
        <w:t xml:space="preserve">) légitiment la violence </w:t>
      </w:r>
      <w:r>
        <w:rPr>
          <w:color w:val="000000"/>
        </w:rPr>
        <w:t>des maris envers leurs</w:t>
      </w:r>
      <w:r w:rsidRPr="00EB5554">
        <w:rPr>
          <w:color w:val="000000"/>
        </w:rPr>
        <w:t xml:space="preserve"> épouses</w:t>
      </w:r>
      <w:r>
        <w:rPr>
          <w:rStyle w:val="FootnoteReference"/>
          <w:color w:val="000000"/>
        </w:rPr>
        <w:footnoteReference w:id="16"/>
      </w:r>
      <w:r w:rsidRPr="00EB5554">
        <w:rPr>
          <w:color w:val="000000"/>
        </w:rPr>
        <w:t>.</w:t>
      </w:r>
    </w:p>
    <w:p w14:paraId="1A062B70" w14:textId="77777777" w:rsidR="00E02032" w:rsidRDefault="00E02032" w:rsidP="00E02032">
      <w:pPr>
        <w:spacing w:after="0" w:line="240" w:lineRule="auto"/>
        <w:jc w:val="both"/>
        <w:rPr>
          <w:rFonts w:cstheme="minorHAnsi"/>
          <w:color w:val="000000"/>
        </w:rPr>
      </w:pPr>
    </w:p>
    <w:p w14:paraId="79BD164A" w14:textId="77777777" w:rsidR="00E02032" w:rsidRPr="00DE7167" w:rsidRDefault="00E02032" w:rsidP="00E02032">
      <w:pPr>
        <w:pStyle w:val="NormalWeb"/>
        <w:spacing w:before="0" w:beforeAutospacing="0" w:after="0" w:afterAutospacing="0"/>
        <w:jc w:val="both"/>
        <w:rPr>
          <w:rFonts w:asciiTheme="minorHAnsi" w:hAnsiTheme="minorHAnsi" w:cstheme="minorHAnsi"/>
          <w:color w:val="000000"/>
          <w:sz w:val="27"/>
          <w:szCs w:val="27"/>
        </w:rPr>
      </w:pPr>
      <w:r w:rsidRPr="008A4069">
        <w:rPr>
          <w:rFonts w:asciiTheme="minorHAnsi" w:hAnsiTheme="minorHAnsi" w:cstheme="minorHAnsi"/>
          <w:b/>
          <w:bCs/>
          <w:color w:val="000000"/>
          <w:sz w:val="22"/>
          <w:szCs w:val="22"/>
        </w:rPr>
        <w:t>La dernière enquête MICS réalisée en RCA en 201 8-2019 a révélé que 24% des femmes âgées de 15 à 49 ans étaient mariées </w:t>
      </w:r>
      <w:r w:rsidRPr="008A4069">
        <w:rPr>
          <w:rFonts w:asciiTheme="minorHAnsi" w:hAnsiTheme="minorHAnsi" w:cstheme="minorHAnsi"/>
          <w:color w:val="000000"/>
          <w:sz w:val="22"/>
          <w:szCs w:val="22"/>
        </w:rPr>
        <w:t xml:space="preserve">avant l'âge de 15 ans et 57 % des femmes âgées de 20 à 49 ans étaient </w:t>
      </w:r>
      <w:r w:rsidRPr="008A4069">
        <w:rPr>
          <w:rFonts w:asciiTheme="minorHAnsi" w:hAnsiTheme="minorHAnsi" w:cstheme="minorHAnsi"/>
          <w:color w:val="000000"/>
          <w:sz w:val="22"/>
          <w:szCs w:val="22"/>
        </w:rPr>
        <w:lastRenderedPageBreak/>
        <w:t>mariées avant l'âge de 18 ans</w:t>
      </w:r>
      <w:r>
        <w:rPr>
          <w:rStyle w:val="FootnoteReference"/>
          <w:rFonts w:asciiTheme="minorHAnsi" w:hAnsiTheme="minorHAnsi" w:cstheme="minorHAnsi"/>
          <w:color w:val="000000"/>
          <w:sz w:val="22"/>
          <w:szCs w:val="22"/>
        </w:rPr>
        <w:footnoteReference w:id="17"/>
      </w:r>
      <w:r w:rsidRPr="008A4069">
        <w:rPr>
          <w:rFonts w:asciiTheme="minorHAnsi" w:hAnsiTheme="minorHAnsi" w:cstheme="minorHAnsi"/>
          <w:color w:val="000000"/>
          <w:sz w:val="22"/>
          <w:szCs w:val="22"/>
        </w:rPr>
        <w:t>. Les données de l'EDS sur le mariage avant l'âge de 18 ans sont de 60%, ce qui indique que le niveau du mariage des enfants n'a pas changé et est toujours supérieur à la moyenne de 38,1% dans la région subsaharienne. Les taux sont plus élevés dans les zones rurales.</w:t>
      </w:r>
    </w:p>
    <w:p w14:paraId="660D1455" w14:textId="77777777" w:rsidR="00E02032" w:rsidRDefault="00E02032" w:rsidP="00E02032">
      <w:pPr>
        <w:pStyle w:val="NormalWeb"/>
        <w:spacing w:before="0" w:beforeAutospacing="0" w:after="0" w:afterAutospacing="0"/>
        <w:jc w:val="both"/>
        <w:rPr>
          <w:rFonts w:ascii="Verdana" w:hAnsi="Verdana"/>
          <w:color w:val="000000"/>
          <w:sz w:val="27"/>
          <w:szCs w:val="27"/>
        </w:rPr>
      </w:pPr>
      <w:r>
        <w:rPr>
          <w:rFonts w:ascii="Calibri Light" w:hAnsi="Calibri Light" w:cs="Calibri Light"/>
          <w:color w:val="4472C4"/>
          <w:sz w:val="22"/>
          <w:szCs w:val="22"/>
        </w:rPr>
        <w:t> </w:t>
      </w:r>
    </w:p>
    <w:p w14:paraId="1ED20009" w14:textId="77777777" w:rsidR="00E02032" w:rsidRPr="003E0529" w:rsidRDefault="00E02032" w:rsidP="00E02032">
      <w:pPr>
        <w:pStyle w:val="NormalWeb"/>
        <w:spacing w:before="0" w:beforeAutospacing="0" w:after="0" w:afterAutospacing="0"/>
        <w:jc w:val="both"/>
        <w:rPr>
          <w:rFonts w:asciiTheme="minorHAnsi" w:hAnsiTheme="minorHAnsi" w:cstheme="minorHAnsi"/>
          <w:color w:val="000000"/>
          <w:sz w:val="27"/>
          <w:szCs w:val="27"/>
        </w:rPr>
      </w:pPr>
      <w:r w:rsidRPr="008A4069">
        <w:rPr>
          <w:rFonts w:asciiTheme="minorHAnsi" w:hAnsiTheme="minorHAnsi" w:cstheme="minorHAnsi"/>
          <w:b/>
          <w:bCs/>
          <w:color w:val="000000"/>
          <w:sz w:val="22"/>
          <w:szCs w:val="22"/>
        </w:rPr>
        <w:t>La dernière MICS a révélé que 22% des femmes âgées de 15 à 49 ans avaient subi une forme quelconque de Mutilations Génitales Féminines</w:t>
      </w:r>
      <w:r w:rsidRPr="008A4069">
        <w:rPr>
          <w:rStyle w:val="FootnoteReference"/>
          <w:rFonts w:asciiTheme="minorHAnsi" w:hAnsiTheme="minorHAnsi" w:cstheme="minorHAnsi"/>
          <w:b/>
          <w:bCs/>
          <w:color w:val="000000"/>
          <w:sz w:val="22"/>
          <w:szCs w:val="22"/>
        </w:rPr>
        <w:footnoteReference w:id="18"/>
      </w:r>
      <w:r w:rsidRPr="008A4069">
        <w:rPr>
          <w:rFonts w:asciiTheme="minorHAnsi" w:hAnsiTheme="minorHAnsi" w:cstheme="minorHAnsi"/>
          <w:b/>
          <w:bCs/>
          <w:color w:val="000000"/>
          <w:sz w:val="22"/>
          <w:szCs w:val="22"/>
        </w:rPr>
        <w:t>. </w:t>
      </w:r>
      <w:r w:rsidRPr="008A4069">
        <w:rPr>
          <w:rFonts w:asciiTheme="minorHAnsi" w:hAnsiTheme="minorHAnsi" w:cstheme="minorHAnsi"/>
          <w:color w:val="000000"/>
          <w:sz w:val="22"/>
          <w:szCs w:val="22"/>
        </w:rPr>
        <w:t>Les taux sont plus élevés dans les zones rurales</w:t>
      </w:r>
      <w:r>
        <w:rPr>
          <w:rStyle w:val="FootnoteReference"/>
          <w:rFonts w:asciiTheme="minorHAnsi" w:hAnsiTheme="minorHAnsi" w:cstheme="minorHAnsi"/>
          <w:color w:val="000000"/>
          <w:sz w:val="22"/>
          <w:szCs w:val="22"/>
        </w:rPr>
        <w:footnoteReference w:id="19"/>
      </w:r>
      <w:r w:rsidRPr="008A4069">
        <w:rPr>
          <w:rFonts w:asciiTheme="minorHAnsi" w:hAnsiTheme="minorHAnsi" w:cstheme="minorHAnsi"/>
          <w:color w:val="000000"/>
          <w:sz w:val="22"/>
          <w:szCs w:val="22"/>
        </w:rPr>
        <w:t xml:space="preserve">. </w:t>
      </w:r>
    </w:p>
    <w:p w14:paraId="7958161C" w14:textId="77777777" w:rsidR="00E02032" w:rsidRDefault="00E02032" w:rsidP="00E02032">
      <w:pPr>
        <w:spacing w:after="0" w:line="240" w:lineRule="auto"/>
        <w:jc w:val="both"/>
        <w:rPr>
          <w:color w:val="000000"/>
        </w:rPr>
      </w:pPr>
    </w:p>
    <w:p w14:paraId="43551CE5" w14:textId="77777777" w:rsidR="00E02032" w:rsidRPr="006B25B8" w:rsidRDefault="00E02032" w:rsidP="00E02032">
      <w:pPr>
        <w:spacing w:after="0" w:line="240" w:lineRule="auto"/>
        <w:jc w:val="both"/>
        <w:rPr>
          <w:rFonts w:eastAsiaTheme="majorEastAsia" w:cstheme="minorHAnsi"/>
          <w:color w:val="1F3763" w:themeColor="accent1" w:themeShade="7F"/>
          <w:sz w:val="24"/>
          <w:szCs w:val="24"/>
        </w:rPr>
      </w:pPr>
      <w:r w:rsidRPr="006B25B8">
        <w:rPr>
          <w:rFonts w:eastAsiaTheme="majorEastAsia" w:cstheme="minorHAnsi"/>
          <w:color w:val="1F3763" w:themeColor="accent1" w:themeShade="7F"/>
          <w:sz w:val="24"/>
          <w:szCs w:val="24"/>
        </w:rPr>
        <w:t xml:space="preserve">4.2 Violences sexuelles </w:t>
      </w:r>
    </w:p>
    <w:p w14:paraId="3342463F" w14:textId="77777777" w:rsidR="00E02032" w:rsidRPr="006B25B8" w:rsidRDefault="00E02032" w:rsidP="00E02032">
      <w:pPr>
        <w:spacing w:after="0" w:line="240" w:lineRule="auto"/>
        <w:jc w:val="both"/>
        <w:rPr>
          <w:color w:val="000000"/>
        </w:rPr>
      </w:pPr>
      <w:r>
        <w:rPr>
          <w:color w:val="000000"/>
        </w:rPr>
        <w:t>Au cours</w:t>
      </w:r>
      <w:r w:rsidRPr="006B25B8">
        <w:rPr>
          <w:color w:val="000000"/>
        </w:rPr>
        <w:t xml:space="preserve"> des années de conflit, </w:t>
      </w:r>
      <w:r w:rsidRPr="006B25B8">
        <w:rPr>
          <w:b/>
          <w:bCs/>
          <w:color w:val="000000"/>
        </w:rPr>
        <w:t xml:space="preserve">les groupes armés ont brutalisé les femmes et les filles, et tous ont </w:t>
      </w:r>
      <w:r>
        <w:rPr>
          <w:b/>
          <w:bCs/>
          <w:color w:val="000000"/>
        </w:rPr>
        <w:t>perpétré</w:t>
      </w:r>
      <w:r w:rsidRPr="006B25B8">
        <w:rPr>
          <w:b/>
          <w:bCs/>
          <w:color w:val="000000"/>
        </w:rPr>
        <w:t xml:space="preserve"> l'esclavage sexuel et le viol à travers le pays </w:t>
      </w:r>
      <w:r>
        <w:rPr>
          <w:color w:val="000000"/>
        </w:rPr>
        <w:t xml:space="preserve">et ont, </w:t>
      </w:r>
      <w:r w:rsidRPr="006B25B8">
        <w:rPr>
          <w:color w:val="000000"/>
        </w:rPr>
        <w:t>dans de nombreux cas, </w:t>
      </w:r>
      <w:r>
        <w:rPr>
          <w:color w:val="000000"/>
        </w:rPr>
        <w:t xml:space="preserve">commis des </w:t>
      </w:r>
      <w:r w:rsidRPr="006B25B8">
        <w:rPr>
          <w:color w:val="000000"/>
        </w:rPr>
        <w:t>viol</w:t>
      </w:r>
      <w:r>
        <w:rPr>
          <w:color w:val="000000"/>
        </w:rPr>
        <w:t>s</w:t>
      </w:r>
      <w:r w:rsidRPr="006B25B8">
        <w:rPr>
          <w:color w:val="000000"/>
        </w:rPr>
        <w:t xml:space="preserve"> comme tactique de guerre</w:t>
      </w:r>
      <w:r>
        <w:rPr>
          <w:rStyle w:val="FootnoteReference"/>
          <w:color w:val="000000"/>
        </w:rPr>
        <w:footnoteReference w:id="20"/>
      </w:r>
      <w:r w:rsidRPr="006B25B8">
        <w:rPr>
          <w:color w:val="000000"/>
        </w:rPr>
        <w:t>.</w:t>
      </w:r>
      <w:bookmarkStart w:id="18" w:name="_ftnref12"/>
      <w:bookmarkEnd w:id="18"/>
    </w:p>
    <w:p w14:paraId="108DBC8D" w14:textId="77777777" w:rsidR="00E02032" w:rsidRPr="006B25B8" w:rsidRDefault="00E02032" w:rsidP="00E02032">
      <w:pPr>
        <w:spacing w:after="0" w:line="240" w:lineRule="auto"/>
        <w:jc w:val="both"/>
        <w:rPr>
          <w:color w:val="000000"/>
        </w:rPr>
      </w:pPr>
      <w:r w:rsidRPr="006B25B8">
        <w:rPr>
          <w:color w:val="000000"/>
        </w:rPr>
        <w:t> </w:t>
      </w:r>
    </w:p>
    <w:p w14:paraId="288722A6" w14:textId="77777777" w:rsidR="00E02032" w:rsidRPr="006B25B8" w:rsidRDefault="00E02032" w:rsidP="00E02032">
      <w:pPr>
        <w:spacing w:after="0" w:line="240" w:lineRule="auto"/>
        <w:jc w:val="both"/>
        <w:rPr>
          <w:color w:val="000000"/>
        </w:rPr>
      </w:pPr>
      <w:r w:rsidRPr="006B25B8">
        <w:rPr>
          <w:color w:val="000000"/>
        </w:rPr>
        <w:t>La violence sexuelle est</w:t>
      </w:r>
      <w:r>
        <w:rPr>
          <w:color w:val="000000"/>
        </w:rPr>
        <w:t xml:space="preserve"> commise</w:t>
      </w:r>
      <w:r w:rsidRPr="006B25B8">
        <w:rPr>
          <w:color w:val="000000"/>
        </w:rPr>
        <w:t xml:space="preserve"> non seulement dans le contexte de la guerre, mais aussi dans les activités quotidiennes, y compris </w:t>
      </w:r>
      <w:r>
        <w:rPr>
          <w:color w:val="000000"/>
        </w:rPr>
        <w:t>au sein des foyers</w:t>
      </w:r>
      <w:r w:rsidRPr="006B25B8">
        <w:rPr>
          <w:color w:val="000000"/>
        </w:rPr>
        <w:t>, comme le montrent les données sur les incidents de GBVIMS</w:t>
      </w:r>
      <w:r>
        <w:rPr>
          <w:color w:val="000000"/>
        </w:rPr>
        <w:t xml:space="preserve"> ainsi qu’à</w:t>
      </w:r>
      <w:r w:rsidRPr="006B25B8">
        <w:rPr>
          <w:color w:val="000000"/>
        </w:rPr>
        <w:t xml:space="preserve"> l'école</w:t>
      </w:r>
      <w:r>
        <w:rPr>
          <w:color w:val="000000"/>
        </w:rPr>
        <w:t xml:space="preserve"> et dans les milieux scolaires. </w:t>
      </w:r>
      <w:r w:rsidRPr="006B25B8">
        <w:rPr>
          <w:color w:val="000000"/>
        </w:rPr>
        <w:t>La violence sexuelle en milieu scolaire a été documentée en 2014</w:t>
      </w:r>
      <w:r>
        <w:rPr>
          <w:rStyle w:val="FootnoteReference"/>
          <w:color w:val="000000"/>
        </w:rPr>
        <w:footnoteReference w:id="21"/>
      </w:r>
      <w:r w:rsidRPr="006B25B8">
        <w:rPr>
          <w:color w:val="000000"/>
        </w:rPr>
        <w:t> </w:t>
      </w:r>
      <w:bookmarkStart w:id="19" w:name="_ftnref13"/>
      <w:bookmarkEnd w:id="19"/>
      <w:r w:rsidRPr="006B25B8">
        <w:rPr>
          <w:color w:val="000000"/>
        </w:rPr>
        <w:t>où la violence sexuelle est mentionnée comme l'un des principaux défis pour l'éducation des filles et le facteur clé de l'abandon scolaire des adolescentes.</w:t>
      </w:r>
    </w:p>
    <w:p w14:paraId="63490156" w14:textId="77777777" w:rsidR="00E02032" w:rsidRDefault="00E02032" w:rsidP="00E02032">
      <w:pPr>
        <w:spacing w:after="0" w:line="240" w:lineRule="auto"/>
        <w:jc w:val="both"/>
        <w:rPr>
          <w:color w:val="000000"/>
        </w:rPr>
      </w:pPr>
    </w:p>
    <w:p w14:paraId="02C52194" w14:textId="77777777" w:rsidR="00E02032" w:rsidRPr="00B152BD" w:rsidRDefault="00E02032" w:rsidP="00E02032">
      <w:pPr>
        <w:jc w:val="both"/>
        <w:rPr>
          <w:rFonts w:cstheme="minorHAnsi"/>
        </w:rPr>
      </w:pPr>
      <w:r w:rsidRPr="00B152BD">
        <w:rPr>
          <w:rFonts w:cstheme="minorHAnsi"/>
          <w:b/>
          <w:bCs/>
        </w:rPr>
        <w:t>Par ailleurs, une analyse récente publiée en mars 2020 par l'OIM et la FAO souligne que 70% des zones évaluées sont confrontées à des conflits liés à la transhumance</w:t>
      </w:r>
      <w:bookmarkStart w:id="20" w:name="_ftnref15"/>
      <w:bookmarkEnd w:id="20"/>
      <w:r w:rsidRPr="00B152BD">
        <w:rPr>
          <w:rStyle w:val="FootnoteReference"/>
          <w:rFonts w:cstheme="minorHAnsi"/>
          <w:b/>
          <w:bCs/>
        </w:rPr>
        <w:footnoteReference w:id="22"/>
      </w:r>
      <w:r w:rsidRPr="00B152BD">
        <w:rPr>
          <w:rFonts w:cstheme="minorHAnsi"/>
          <w:b/>
          <w:bCs/>
        </w:rPr>
        <w:t>. </w:t>
      </w:r>
      <w:r w:rsidRPr="00B152BD">
        <w:rPr>
          <w:rFonts w:cstheme="minorHAnsi"/>
        </w:rPr>
        <w:t>Plus précisément,</w:t>
      </w:r>
      <w:r>
        <w:rPr>
          <w:rFonts w:cstheme="minorHAnsi"/>
        </w:rPr>
        <w:t xml:space="preserve"> l’étude révèle que</w:t>
      </w:r>
      <w:r w:rsidRPr="00B152BD">
        <w:rPr>
          <w:rFonts w:cstheme="minorHAnsi"/>
        </w:rPr>
        <w:t xml:space="preserve"> « dans la majorité des groupes de discussion avec des femmes, les femmes ont révélé que pendant le cycle de la transhumance, il y a un risque accru de menaces physiques, d'abus et de violence sexuelle perpétrés contre les femmes, en particulier près des points d'eau. Dans la majorité des groupes de discussion</w:t>
      </w:r>
      <w:r>
        <w:rPr>
          <w:rFonts w:cstheme="minorHAnsi"/>
        </w:rPr>
        <w:t xml:space="preserve"> (réalisés dans le cadre de cette analyse)</w:t>
      </w:r>
      <w:r w:rsidRPr="00B152BD">
        <w:rPr>
          <w:rFonts w:cstheme="minorHAnsi"/>
        </w:rPr>
        <w:t>, les femmes ont également déclaré qu'elles se sentaient moins en sécurité dans les champs à cause de certains groupes d'éleveurs qualifiés de violents et parfois armés</w:t>
      </w:r>
      <w:r>
        <w:rPr>
          <w:rFonts w:cstheme="minorHAnsi"/>
        </w:rPr>
        <w:t> »</w:t>
      </w:r>
      <w:r w:rsidRPr="00B152BD">
        <w:rPr>
          <w:rFonts w:cstheme="minorHAnsi"/>
        </w:rPr>
        <w:t>.</w:t>
      </w:r>
    </w:p>
    <w:p w14:paraId="5FA5DC5E" w14:textId="77777777" w:rsidR="00E02032" w:rsidRPr="006B25B8" w:rsidRDefault="00E02032" w:rsidP="00E02032">
      <w:pPr>
        <w:pStyle w:val="ListParagraph"/>
        <w:spacing w:after="0" w:line="240" w:lineRule="auto"/>
        <w:jc w:val="both"/>
        <w:rPr>
          <w:color w:val="000000"/>
        </w:rPr>
      </w:pPr>
    </w:p>
    <w:p w14:paraId="7903E56D" w14:textId="77777777" w:rsidR="00E02032" w:rsidRPr="002F4A9D" w:rsidRDefault="00E02032" w:rsidP="00E02032">
      <w:pPr>
        <w:pStyle w:val="Heading3"/>
        <w:rPr>
          <w:rFonts w:asciiTheme="minorHAnsi" w:hAnsiTheme="minorHAnsi" w:cstheme="minorHAnsi"/>
        </w:rPr>
      </w:pPr>
      <w:bookmarkStart w:id="21" w:name="_Toc68269617"/>
      <w:r>
        <w:rPr>
          <w:rFonts w:asciiTheme="minorHAnsi" w:hAnsiTheme="minorHAnsi" w:cstheme="minorHAnsi"/>
        </w:rPr>
        <w:t>4</w:t>
      </w:r>
      <w:r w:rsidRPr="00AB1CF4">
        <w:rPr>
          <w:rFonts w:asciiTheme="minorHAnsi" w:hAnsiTheme="minorHAnsi" w:cstheme="minorHAnsi"/>
        </w:rPr>
        <w:t>.3 Exploitation et atteintes sexuelles</w:t>
      </w:r>
      <w:r w:rsidRPr="00AB1CF4">
        <w:rPr>
          <w:rStyle w:val="FootnoteReference"/>
          <w:rFonts w:asciiTheme="minorHAnsi" w:hAnsiTheme="minorHAnsi" w:cstheme="minorHAnsi"/>
        </w:rPr>
        <w:footnoteReference w:id="23"/>
      </w:r>
      <w:bookmarkEnd w:id="21"/>
    </w:p>
    <w:p w14:paraId="2585914B" w14:textId="77777777" w:rsidR="00E02032" w:rsidRPr="00AB1CF4" w:rsidRDefault="00E02032" w:rsidP="00E02032">
      <w:pPr>
        <w:jc w:val="both"/>
        <w:rPr>
          <w:rFonts w:cstheme="minorHAnsi"/>
        </w:rPr>
      </w:pPr>
      <w:r w:rsidRPr="006B3DAE">
        <w:rPr>
          <w:rFonts w:cstheme="minorHAnsi"/>
          <w:b/>
          <w:bCs/>
        </w:rPr>
        <w:t xml:space="preserve">L'enquête MICS 2010 a révélé que 10,4% des adolescents entre 15 et 19 ans étaient contraints à la prostitution, principalement (67,4%) par des tiers. </w:t>
      </w:r>
      <w:r w:rsidRPr="00AB1CF4">
        <w:rPr>
          <w:rFonts w:cstheme="minorHAnsi"/>
        </w:rPr>
        <w:t xml:space="preserve">Les résultats de cette enquête ne donnent qu'une indication superficielle quant au phénomène de l'exploitation sexuelle des femmes et des filles en </w:t>
      </w:r>
      <w:r w:rsidRPr="00AB1CF4">
        <w:rPr>
          <w:rFonts w:cstheme="minorHAnsi"/>
        </w:rPr>
        <w:lastRenderedPageBreak/>
        <w:t xml:space="preserve">République centrafricaine. L'exploitation sexuelle touche principalement les filles mais aussi certains garçons, même si pour les garçons elle reste un sujet tabou. </w:t>
      </w:r>
    </w:p>
    <w:p w14:paraId="1023A61E" w14:textId="77777777" w:rsidR="00E02032" w:rsidRPr="00AB1CF4" w:rsidRDefault="00E02032" w:rsidP="00E02032">
      <w:pPr>
        <w:jc w:val="both"/>
        <w:rPr>
          <w:rFonts w:cstheme="minorHAnsi"/>
        </w:rPr>
      </w:pPr>
      <w:r w:rsidRPr="00AB1CF4">
        <w:rPr>
          <w:rFonts w:cstheme="minorHAnsi"/>
          <w:b/>
          <w:bCs/>
        </w:rPr>
        <w:t>Le phénomène de l'exploitation sexuelle commerciale des enfants semble s'enraciner et se perpétuer du fait de la précarité socio-économique des familles, des faiblesses du système scolaire, du manque d'opportunités d'insertion socio-économique et des pratiques d'initiation sexuelle précoces</w:t>
      </w:r>
      <w:r w:rsidRPr="00AB1CF4">
        <w:rPr>
          <w:rFonts w:cstheme="minorHAnsi"/>
        </w:rPr>
        <w:t xml:space="preserve">. Dans tous les lieux étudiés, l'étude a révélé que l'exploitation sexuelle est le phénomène le plus pratiqué (53,20%), suivie des abus sexuels (35,46%), puis de la traite (11,33%). Toutes les classes sociales </w:t>
      </w:r>
      <w:r>
        <w:rPr>
          <w:rFonts w:cstheme="minorHAnsi"/>
        </w:rPr>
        <w:t>sont concernées par</w:t>
      </w:r>
      <w:r w:rsidRPr="00AB1CF4">
        <w:rPr>
          <w:rFonts w:cstheme="minorHAnsi"/>
        </w:rPr>
        <w:t xml:space="preserve"> les abus sexuels et l'exploitation sexuelle des enfants. </w:t>
      </w:r>
      <w:r>
        <w:rPr>
          <w:rFonts w:cstheme="minorHAnsi"/>
        </w:rPr>
        <w:t>Parmi les</w:t>
      </w:r>
      <w:r w:rsidRPr="00AB1CF4">
        <w:rPr>
          <w:rFonts w:cstheme="minorHAnsi"/>
        </w:rPr>
        <w:t xml:space="preserve"> facteurs </w:t>
      </w:r>
      <w:r>
        <w:rPr>
          <w:rFonts w:cstheme="minorHAnsi"/>
        </w:rPr>
        <w:t xml:space="preserve">qui </w:t>
      </w:r>
      <w:r w:rsidRPr="00AB1CF4">
        <w:rPr>
          <w:rFonts w:cstheme="minorHAnsi"/>
        </w:rPr>
        <w:t>interviennent pour renforcer l'affaiblissement et les traditions</w:t>
      </w:r>
      <w:r>
        <w:rPr>
          <w:rFonts w:cstheme="minorHAnsi"/>
        </w:rPr>
        <w:t xml:space="preserve"> on note</w:t>
      </w:r>
      <w:r w:rsidRPr="00AB1CF4">
        <w:rPr>
          <w:rFonts w:cstheme="minorHAnsi"/>
        </w:rPr>
        <w:t xml:space="preserve"> la dislocation de la famille (12%) et l'extrême pauvreté (16,8%)</w:t>
      </w:r>
      <w:r>
        <w:rPr>
          <w:rFonts w:cstheme="minorHAnsi"/>
        </w:rPr>
        <w:t xml:space="preserve"> d</w:t>
      </w:r>
      <w:r w:rsidRPr="00AB1CF4">
        <w:rPr>
          <w:rFonts w:cstheme="minorHAnsi"/>
        </w:rPr>
        <w:t>es familles (bas salaires de subsistance, famille élargie et nombreux membres de la famille, etc.).</w:t>
      </w:r>
    </w:p>
    <w:p w14:paraId="42A88565" w14:textId="77777777" w:rsidR="00E02032" w:rsidRPr="00AB1CF4" w:rsidRDefault="00E02032" w:rsidP="00E02032">
      <w:pPr>
        <w:jc w:val="both"/>
        <w:rPr>
          <w:rFonts w:cstheme="minorHAnsi"/>
        </w:rPr>
      </w:pPr>
      <w:r w:rsidRPr="00EB5554">
        <w:rPr>
          <w:rFonts w:cstheme="minorHAnsi"/>
          <w:b/>
          <w:bCs/>
        </w:rPr>
        <w:t>Les abus sexuels commis par des soldats de la paix en RCA</w:t>
      </w:r>
      <w:r w:rsidRPr="00AB1CF4">
        <w:rPr>
          <w:rFonts w:cstheme="minorHAnsi"/>
        </w:rPr>
        <w:t xml:space="preserve"> ont fait la une des journaux internationaux en 2015 lorsque le rapport confidentiel de l'ONU sur ces abus a été transmis aux autorités françaises par un haut fonctionnaire de l'ONU</w:t>
      </w:r>
      <w:r>
        <w:rPr>
          <w:rStyle w:val="FootnoteReference"/>
          <w:rFonts w:cstheme="minorHAnsi"/>
        </w:rPr>
        <w:footnoteReference w:id="24"/>
      </w:r>
      <w:r w:rsidRPr="00AB1CF4">
        <w:rPr>
          <w:rFonts w:cstheme="minorHAnsi"/>
        </w:rPr>
        <w:t xml:space="preserve">. </w:t>
      </w:r>
      <w:r>
        <w:rPr>
          <w:rFonts w:cstheme="minorHAnsi"/>
        </w:rPr>
        <w:t>Les agences de l’</w:t>
      </w:r>
      <w:r w:rsidRPr="00AB1CF4">
        <w:rPr>
          <w:rFonts w:cstheme="minorHAnsi"/>
        </w:rPr>
        <w:t xml:space="preserve">ONU </w:t>
      </w:r>
      <w:r>
        <w:rPr>
          <w:rFonts w:cstheme="minorHAnsi"/>
        </w:rPr>
        <w:t>ont</w:t>
      </w:r>
      <w:r w:rsidRPr="00AB1CF4">
        <w:rPr>
          <w:rFonts w:cstheme="minorHAnsi"/>
        </w:rPr>
        <w:t xml:space="preserve"> élaboré un protocole de partage d'informations sur les allégations d'EAS afin d'améliorer la collaboration entre les différents acteurs humanitaires (MINUSCA, agences des Nations Unies, ONG internationales et nationales) afin d'assurer sous la coordination du FNUAP une collecte de données sécurisée et éthique, des référencements et un partage des responsabilités.  </w:t>
      </w:r>
    </w:p>
    <w:p w14:paraId="56124BE2" w14:textId="77777777" w:rsidR="00E02032" w:rsidRDefault="00E02032" w:rsidP="00E02032">
      <w:pPr>
        <w:pStyle w:val="Heading3"/>
        <w:rPr>
          <w:rFonts w:asciiTheme="minorHAnsi" w:hAnsiTheme="minorHAnsi" w:cstheme="minorHAnsi"/>
        </w:rPr>
      </w:pPr>
      <w:bookmarkStart w:id="22" w:name="_Toc68269618"/>
      <w:r>
        <w:rPr>
          <w:rFonts w:asciiTheme="minorHAnsi" w:hAnsiTheme="minorHAnsi" w:cstheme="minorHAnsi"/>
        </w:rPr>
        <w:t>4</w:t>
      </w:r>
      <w:r w:rsidRPr="00AB1CF4">
        <w:rPr>
          <w:rFonts w:asciiTheme="minorHAnsi" w:hAnsiTheme="minorHAnsi" w:cstheme="minorHAnsi"/>
        </w:rPr>
        <w:t>.</w:t>
      </w:r>
      <w:r>
        <w:rPr>
          <w:rFonts w:asciiTheme="minorHAnsi" w:hAnsiTheme="minorHAnsi" w:cstheme="minorHAnsi"/>
        </w:rPr>
        <w:t>4</w:t>
      </w:r>
      <w:r w:rsidRPr="00AB1CF4">
        <w:rPr>
          <w:rFonts w:asciiTheme="minorHAnsi" w:hAnsiTheme="minorHAnsi" w:cstheme="minorHAnsi"/>
        </w:rPr>
        <w:t xml:space="preserve"> Augmentation des VBG dans le contexte de </w:t>
      </w:r>
      <w:r>
        <w:rPr>
          <w:rFonts w:asciiTheme="minorHAnsi" w:hAnsiTheme="minorHAnsi" w:cstheme="minorHAnsi"/>
        </w:rPr>
        <w:t xml:space="preserve">la </w:t>
      </w:r>
      <w:r w:rsidRPr="00AB1CF4">
        <w:rPr>
          <w:rFonts w:asciiTheme="minorHAnsi" w:hAnsiTheme="minorHAnsi" w:cstheme="minorHAnsi"/>
        </w:rPr>
        <w:t>pandémie du C</w:t>
      </w:r>
      <w:r>
        <w:rPr>
          <w:rFonts w:asciiTheme="minorHAnsi" w:hAnsiTheme="minorHAnsi" w:cstheme="minorHAnsi"/>
        </w:rPr>
        <w:t>ovid</w:t>
      </w:r>
      <w:r w:rsidRPr="00AB1CF4">
        <w:rPr>
          <w:rFonts w:asciiTheme="minorHAnsi" w:hAnsiTheme="minorHAnsi" w:cstheme="minorHAnsi"/>
        </w:rPr>
        <w:t>-19</w:t>
      </w:r>
      <w:bookmarkEnd w:id="22"/>
      <w:r w:rsidRPr="00AB1CF4">
        <w:rPr>
          <w:rFonts w:asciiTheme="minorHAnsi" w:hAnsiTheme="minorHAnsi" w:cstheme="minorHAnsi"/>
        </w:rPr>
        <w:t xml:space="preserve"> </w:t>
      </w:r>
    </w:p>
    <w:p w14:paraId="16F5EEED" w14:textId="77777777" w:rsidR="00E02032" w:rsidRDefault="00E02032" w:rsidP="00E02032">
      <w:pPr>
        <w:jc w:val="both"/>
        <w:rPr>
          <w:rFonts w:cstheme="minorHAnsi"/>
        </w:rPr>
      </w:pPr>
      <w:r w:rsidRPr="00AB1CF4">
        <w:rPr>
          <w:rFonts w:cstheme="minorHAnsi"/>
        </w:rPr>
        <w:t xml:space="preserve">Les pandémies aggravent les inégalités et les vulnérabilités existantes entre les sexes, augmentant les risques de maltraitance. En période d’épidémie il est avéré que les femmes et les filles sont plus à risque, par exemple, de subir des violences de la part de leur partenaire intime et d’autres formes de violence domestique en raison des tensions exacerbées au sein des ménages car la pandémie s’accompagne d’une crise économique et sociale et donc d’une perte de moyens de subsistance au sein des ménages. </w:t>
      </w:r>
    </w:p>
    <w:p w14:paraId="73DBBB0F" w14:textId="77777777" w:rsidR="00E02032" w:rsidRPr="00AB1CF4" w:rsidRDefault="00E02032" w:rsidP="00E02032">
      <w:pPr>
        <w:jc w:val="both"/>
        <w:rPr>
          <w:rFonts w:cstheme="minorHAnsi"/>
        </w:rPr>
      </w:pPr>
      <w:r>
        <w:rPr>
          <w:rFonts w:cstheme="minorHAnsi"/>
        </w:rPr>
        <w:t>En outre, l</w:t>
      </w:r>
      <w:r w:rsidRPr="00AB1CF4">
        <w:rPr>
          <w:rFonts w:cstheme="minorHAnsi"/>
        </w:rPr>
        <w:t xml:space="preserve">es mesures de confinement mises en place par les autorités exacerbent également les cas de violences domestiques. L’interruption de l’éducation avec les fermetures d’école pousse les filles vers les mariages précoces et forcés. Les femmes et les filles sont donc face à des risques accrus d’autres formes de violence sexiste, y compris l’exploitation et les abus sexuels dans ces situations. À titre </w:t>
      </w:r>
      <w:r>
        <w:rPr>
          <w:rFonts w:cstheme="minorHAnsi"/>
        </w:rPr>
        <w:t>de comparaison</w:t>
      </w:r>
      <w:r w:rsidRPr="00AB1CF4">
        <w:rPr>
          <w:rFonts w:cstheme="minorHAnsi"/>
        </w:rPr>
        <w:t xml:space="preserve">, les répercussions économiques de l’épidémie d’Ebola de 2013 à 2016 en Afrique de l’Ouest ont fait courir aux femmes et aux enfants un risque accru d’exploitation et de violence sexuelle. </w:t>
      </w:r>
    </w:p>
    <w:p w14:paraId="4FA41ACB" w14:textId="77777777" w:rsidR="00E02032" w:rsidRPr="00AB1CF4" w:rsidRDefault="00E02032" w:rsidP="00E02032">
      <w:pPr>
        <w:pStyle w:val="Heading1"/>
        <w:rPr>
          <w:rFonts w:asciiTheme="minorHAnsi" w:hAnsiTheme="minorHAnsi" w:cstheme="minorHAnsi"/>
          <w:sz w:val="24"/>
          <w:szCs w:val="24"/>
        </w:rPr>
      </w:pPr>
      <w:bookmarkStart w:id="23" w:name="_Toc68269619"/>
      <w:r>
        <w:rPr>
          <w:rFonts w:asciiTheme="minorHAnsi" w:hAnsiTheme="minorHAnsi" w:cstheme="minorHAnsi"/>
          <w:sz w:val="24"/>
          <w:szCs w:val="24"/>
        </w:rPr>
        <w:t>5</w:t>
      </w:r>
      <w:r w:rsidRPr="00AB1CF4">
        <w:rPr>
          <w:rFonts w:asciiTheme="minorHAnsi" w:hAnsiTheme="minorHAnsi" w:cstheme="minorHAnsi"/>
          <w:sz w:val="24"/>
          <w:szCs w:val="24"/>
        </w:rPr>
        <w:t xml:space="preserve">. Risques </w:t>
      </w:r>
      <w:r>
        <w:rPr>
          <w:rFonts w:asciiTheme="minorHAnsi" w:hAnsiTheme="minorHAnsi" w:cstheme="minorHAnsi"/>
          <w:sz w:val="24"/>
          <w:szCs w:val="24"/>
        </w:rPr>
        <w:t>d’</w:t>
      </w:r>
      <w:r w:rsidRPr="00AB1CF4">
        <w:rPr>
          <w:rFonts w:asciiTheme="minorHAnsi" w:hAnsiTheme="minorHAnsi" w:cstheme="minorHAnsi"/>
          <w:sz w:val="24"/>
          <w:szCs w:val="24"/>
        </w:rPr>
        <w:t xml:space="preserve">EAS et HS </w:t>
      </w:r>
      <w:r>
        <w:rPr>
          <w:rFonts w:asciiTheme="minorHAnsi" w:hAnsiTheme="minorHAnsi" w:cstheme="minorHAnsi"/>
          <w:sz w:val="24"/>
          <w:szCs w:val="24"/>
        </w:rPr>
        <w:t xml:space="preserve">du projet Maïngo </w:t>
      </w:r>
      <w:r w:rsidRPr="00AB1CF4">
        <w:rPr>
          <w:rFonts w:asciiTheme="minorHAnsi" w:hAnsiTheme="minorHAnsi" w:cstheme="minorHAnsi"/>
          <w:sz w:val="24"/>
          <w:szCs w:val="24"/>
        </w:rPr>
        <w:t>et recommandations pour atténuer les risques</w:t>
      </w:r>
      <w:bookmarkEnd w:id="23"/>
      <w:r w:rsidRPr="00AB1CF4">
        <w:rPr>
          <w:rFonts w:asciiTheme="minorHAnsi" w:hAnsiTheme="minorHAnsi" w:cstheme="minorHAnsi"/>
          <w:sz w:val="24"/>
          <w:szCs w:val="24"/>
        </w:rPr>
        <w:t xml:space="preserve"> </w:t>
      </w:r>
    </w:p>
    <w:p w14:paraId="65A4D0C2" w14:textId="77777777" w:rsidR="00E02032" w:rsidRPr="00AB1CF4" w:rsidRDefault="00E02032" w:rsidP="00E02032">
      <w:pPr>
        <w:jc w:val="both"/>
        <w:rPr>
          <w:rFonts w:cstheme="minorHAnsi"/>
        </w:rPr>
      </w:pPr>
    </w:p>
    <w:p w14:paraId="7EE99BB5" w14:textId="77777777" w:rsidR="00E02032" w:rsidRPr="00AB1CF4" w:rsidRDefault="00E02032" w:rsidP="00E02032">
      <w:pPr>
        <w:jc w:val="both"/>
        <w:rPr>
          <w:rFonts w:cstheme="minorHAnsi"/>
        </w:rPr>
      </w:pPr>
      <w:r w:rsidRPr="001E4A6F">
        <w:rPr>
          <w:rFonts w:cstheme="minorHAnsi"/>
          <w:b/>
          <w:bCs/>
        </w:rPr>
        <w:t>La prévention et l’atténuation des risques de VBG, y compris l'exploitation et les atteintes sexuels (EAS) et le harcèlement sexuel (HS), constituent des impératifs de protection et de développement essentiels.</w:t>
      </w:r>
      <w:r w:rsidRPr="00AB1CF4">
        <w:rPr>
          <w:rFonts w:cstheme="minorHAnsi"/>
        </w:rPr>
        <w:t xml:space="preserve"> La </w:t>
      </w:r>
      <w:r>
        <w:rPr>
          <w:rFonts w:cstheme="minorHAnsi"/>
        </w:rPr>
        <w:t>VBG</w:t>
      </w:r>
      <w:r w:rsidRPr="00AB1CF4">
        <w:rPr>
          <w:rFonts w:cstheme="minorHAnsi"/>
        </w:rPr>
        <w:t xml:space="preserve"> existe </w:t>
      </w:r>
      <w:r>
        <w:rPr>
          <w:rFonts w:cstheme="minorHAnsi"/>
        </w:rPr>
        <w:t>dans tous les contextes</w:t>
      </w:r>
      <w:r w:rsidRPr="00AB1CF4">
        <w:rPr>
          <w:rFonts w:cstheme="minorHAnsi"/>
        </w:rPr>
        <w:t xml:space="preserve"> </w:t>
      </w:r>
      <w:r>
        <w:rPr>
          <w:rFonts w:cstheme="minorHAnsi"/>
        </w:rPr>
        <w:t>au sein desquels</w:t>
      </w:r>
      <w:r w:rsidRPr="00AB1CF4">
        <w:rPr>
          <w:rFonts w:cstheme="minorHAnsi"/>
        </w:rPr>
        <w:t xml:space="preserve"> la Banque </w:t>
      </w:r>
      <w:r>
        <w:rPr>
          <w:rFonts w:cstheme="minorHAnsi"/>
        </w:rPr>
        <w:t>m</w:t>
      </w:r>
      <w:r w:rsidRPr="00AB1CF4">
        <w:rPr>
          <w:rFonts w:cstheme="minorHAnsi"/>
        </w:rPr>
        <w:t xml:space="preserve">ondiale opère et peut </w:t>
      </w:r>
      <w:r w:rsidRPr="00AB1CF4">
        <w:rPr>
          <w:rFonts w:cstheme="minorHAnsi"/>
        </w:rPr>
        <w:lastRenderedPageBreak/>
        <w:t xml:space="preserve">être exacerbée par les engagements de la Banque, avec de profondes répercussions sur la sécurité, la dignité et le bien-être des communautés affectées. </w:t>
      </w:r>
    </w:p>
    <w:p w14:paraId="63076AE9" w14:textId="77777777" w:rsidR="00E02032" w:rsidRDefault="00E02032" w:rsidP="00E02032">
      <w:pPr>
        <w:jc w:val="both"/>
        <w:rPr>
          <w:rFonts w:cstheme="minorHAnsi"/>
        </w:rPr>
      </w:pPr>
      <w:r w:rsidRPr="001E4A6F">
        <w:rPr>
          <w:rFonts w:cstheme="minorHAnsi"/>
          <w:b/>
          <w:bCs/>
        </w:rPr>
        <w:t>L’évaluation a mis en exergue des risques directs et indirects en lien aux activités prévues par le projet Maïngo.</w:t>
      </w:r>
      <w:r w:rsidRPr="00AB1CF4">
        <w:rPr>
          <w:rFonts w:cstheme="minorHAnsi"/>
        </w:rPr>
        <w:t xml:space="preserve"> De plus, l’évaluation s’est aussi penchée sur les capacités locales à même de prévenir et offrir une prise en charge de qualité aux survivants de VBG afin de renseigner l’équipe du projet et l’Unité de Gestion du projet sur la capacité de la Banque </w:t>
      </w:r>
      <w:r>
        <w:rPr>
          <w:rFonts w:cstheme="minorHAnsi"/>
        </w:rPr>
        <w:t>m</w:t>
      </w:r>
      <w:r w:rsidRPr="00AB1CF4">
        <w:rPr>
          <w:rFonts w:cstheme="minorHAnsi"/>
        </w:rPr>
        <w:t>ondiale à opérationnaliser les mesures visant à prévenir</w:t>
      </w:r>
      <w:r>
        <w:rPr>
          <w:rFonts w:cstheme="minorHAnsi"/>
        </w:rPr>
        <w:t>, atténuer les risques</w:t>
      </w:r>
      <w:r w:rsidRPr="00AB1CF4">
        <w:rPr>
          <w:rFonts w:cstheme="minorHAnsi"/>
        </w:rPr>
        <w:t xml:space="preserve"> et à répondre aux incidents d</w:t>
      </w:r>
      <w:r>
        <w:rPr>
          <w:rFonts w:cstheme="minorHAnsi"/>
        </w:rPr>
        <w:t xml:space="preserve">’ </w:t>
      </w:r>
      <w:r w:rsidRPr="00AB1CF4">
        <w:rPr>
          <w:rFonts w:cstheme="minorHAnsi"/>
        </w:rPr>
        <w:t>EAS et de H</w:t>
      </w:r>
      <w:r>
        <w:rPr>
          <w:rFonts w:cstheme="minorHAnsi"/>
        </w:rPr>
        <w:t>S</w:t>
      </w:r>
      <w:r w:rsidRPr="00AB1CF4">
        <w:rPr>
          <w:rFonts w:cstheme="minorHAnsi"/>
        </w:rPr>
        <w:t xml:space="preserve"> qui pourraient survenir dans le cadre du projet </w:t>
      </w:r>
      <w:r w:rsidRPr="002F4A9D">
        <w:rPr>
          <w:rFonts w:cstheme="minorHAnsi"/>
        </w:rPr>
        <w:t>Maïngo</w:t>
      </w:r>
      <w:r w:rsidRPr="00AB1CF4">
        <w:rPr>
          <w:rFonts w:cstheme="minorHAnsi"/>
        </w:rPr>
        <w:t xml:space="preserve">. </w:t>
      </w:r>
    </w:p>
    <w:p w14:paraId="2E9D45BC" w14:textId="77777777" w:rsidR="00E02032" w:rsidRPr="00E72C8F" w:rsidRDefault="00E02032" w:rsidP="00E02032">
      <w:pPr>
        <w:jc w:val="both"/>
        <w:rPr>
          <w:rFonts w:cstheme="minorHAnsi"/>
        </w:rPr>
      </w:pPr>
      <w:r>
        <w:rPr>
          <w:rFonts w:cstheme="minorHAnsi"/>
        </w:rPr>
        <w:t>Les questions qui ont guidé l’analyse des risques du projet comprennent les éléments listés ci-dessous.</w:t>
      </w:r>
    </w:p>
    <w:p w14:paraId="62891603" w14:textId="77777777" w:rsidR="00E02032" w:rsidRPr="00E72C8F" w:rsidRDefault="00E02032" w:rsidP="00E02032">
      <w:pPr>
        <w:pStyle w:val="IntenseQuote"/>
        <w:rPr>
          <w:rFonts w:cstheme="minorHAnsi"/>
          <w:color w:val="5B9BD5" w:themeColor="accent5"/>
        </w:rPr>
      </w:pPr>
      <w:r>
        <w:rPr>
          <w:rFonts w:cstheme="minorHAnsi"/>
        </w:rPr>
        <w:t xml:space="preserve">Analyse des risques : questions-guides </w:t>
      </w:r>
    </w:p>
    <w:p w14:paraId="401E4D54" w14:textId="77777777" w:rsidR="00E02032" w:rsidRPr="00E72C8F" w:rsidRDefault="00E02032" w:rsidP="00E02032">
      <w:pPr>
        <w:jc w:val="both"/>
        <w:rPr>
          <w:rFonts w:cstheme="minorHAnsi"/>
        </w:rPr>
      </w:pPr>
      <w:r w:rsidRPr="00E72C8F">
        <w:rPr>
          <w:rFonts w:cstheme="minorHAnsi"/>
        </w:rPr>
        <w:t>Le projet peut-il contribuer ou aggraver la VBG, en particulier l'E</w:t>
      </w:r>
      <w:r>
        <w:rPr>
          <w:rFonts w:cstheme="minorHAnsi"/>
        </w:rPr>
        <w:t>A</w:t>
      </w:r>
      <w:r w:rsidRPr="00E72C8F">
        <w:rPr>
          <w:rFonts w:cstheme="minorHAnsi"/>
        </w:rPr>
        <w:t>S</w:t>
      </w:r>
      <w:r>
        <w:rPr>
          <w:rFonts w:cstheme="minorHAnsi"/>
        </w:rPr>
        <w:t xml:space="preserve">/HS </w:t>
      </w:r>
      <w:r w:rsidRPr="00E72C8F">
        <w:rPr>
          <w:rFonts w:cstheme="minorHAnsi"/>
        </w:rPr>
        <w:t>dans sa zone d'</w:t>
      </w:r>
      <w:r>
        <w:rPr>
          <w:rFonts w:cstheme="minorHAnsi"/>
        </w:rPr>
        <w:t>intervention :</w:t>
      </w:r>
    </w:p>
    <w:p w14:paraId="658959FE" w14:textId="77777777" w:rsidR="00E02032" w:rsidRPr="00E72C8F" w:rsidRDefault="00E02032" w:rsidP="00E02032">
      <w:pPr>
        <w:pStyle w:val="ListParagraph"/>
        <w:numPr>
          <w:ilvl w:val="0"/>
          <w:numId w:val="24"/>
        </w:numPr>
        <w:shd w:val="clear" w:color="auto" w:fill="E7E6E6" w:themeFill="background2"/>
        <w:jc w:val="both"/>
        <w:rPr>
          <w:rFonts w:cstheme="minorHAnsi"/>
        </w:rPr>
      </w:pPr>
      <w:r w:rsidRPr="00E72C8F">
        <w:rPr>
          <w:rFonts w:cstheme="minorHAnsi"/>
        </w:rPr>
        <w:t>En sapant ou en détériorant les moyens de subsistance et en mettant les femmes, les filles ou d'autres groupes en danger et en augmentant les déséquilibres de pouvoir?</w:t>
      </w:r>
    </w:p>
    <w:p w14:paraId="614E543E" w14:textId="77777777" w:rsidR="00E02032" w:rsidRPr="00E72C8F" w:rsidRDefault="00E02032" w:rsidP="00E02032">
      <w:pPr>
        <w:pStyle w:val="ListParagraph"/>
        <w:numPr>
          <w:ilvl w:val="0"/>
          <w:numId w:val="24"/>
        </w:numPr>
        <w:shd w:val="clear" w:color="auto" w:fill="E7E6E6" w:themeFill="background2"/>
        <w:jc w:val="both"/>
        <w:rPr>
          <w:rFonts w:cstheme="minorHAnsi"/>
        </w:rPr>
      </w:pPr>
      <w:r w:rsidRPr="00E72C8F">
        <w:rPr>
          <w:rFonts w:cstheme="minorHAnsi"/>
        </w:rPr>
        <w:t>En embauchant des travailleurs masculins ou en amenant un afflux de travailleurs masculins dans/près des communautés où les conditions de pauvreté et le manque d'opportunités économiques, les normes sociales approuvant le sexe transactionnel et les relations de pouvoir inégales entre les sexes peuvent être associées au sexe transactionnel, aux abus sexuels ou à la violence. Quel est le profil de l'afflux de main-d'œuvre, la capacité d'absorption de la communauté, les pratiques locales et la dynamique de l'interaction entre les travailleurs masculins et les femmes et les enfants des communautés?</w:t>
      </w:r>
    </w:p>
    <w:p w14:paraId="1502A8BD" w14:textId="77777777" w:rsidR="00E02032" w:rsidRPr="00E72C8F" w:rsidRDefault="00E02032" w:rsidP="00E02032">
      <w:pPr>
        <w:pStyle w:val="ListParagraph"/>
        <w:numPr>
          <w:ilvl w:val="0"/>
          <w:numId w:val="24"/>
        </w:numPr>
        <w:shd w:val="clear" w:color="auto" w:fill="E7E6E6" w:themeFill="background2"/>
        <w:jc w:val="both"/>
        <w:rPr>
          <w:rFonts w:cstheme="minorHAnsi"/>
        </w:rPr>
      </w:pPr>
      <w:r w:rsidRPr="00E72C8F">
        <w:rPr>
          <w:rFonts w:cstheme="minorHAnsi"/>
        </w:rPr>
        <w:t>En faisant en sorte que le personnel de projet ou le personnel travaillant dans des projets financés par la Banque (enseignants, directeurs de programme, prestataires de santé, techniciens) abuse de leur pouvoir d'échanger l'accès aux biens, services ou opportunités économiques contre des rapports sexuels?</w:t>
      </w:r>
    </w:p>
    <w:p w14:paraId="221028D0" w14:textId="77777777" w:rsidR="00E02032" w:rsidRPr="00E72C8F" w:rsidRDefault="00E02032" w:rsidP="00E02032">
      <w:pPr>
        <w:pStyle w:val="ListParagraph"/>
        <w:numPr>
          <w:ilvl w:val="0"/>
          <w:numId w:val="24"/>
        </w:numPr>
        <w:shd w:val="clear" w:color="auto" w:fill="E7E6E6" w:themeFill="background2"/>
        <w:jc w:val="both"/>
        <w:rPr>
          <w:rFonts w:cstheme="minorHAnsi"/>
        </w:rPr>
      </w:pPr>
      <w:r w:rsidRPr="00E72C8F">
        <w:rPr>
          <w:rFonts w:cstheme="minorHAnsi"/>
        </w:rPr>
        <w:t>En introduisant un accès aux ressources ou aux opportunités pour les femmes qui crée un déséquilibre dans les relations traditionnelles entre les sexes au sein des ménages et des communautés et/ou remet en question les normes traditionnelles concernant les rôles des femmes et des hommes générant une réaction de violence?</w:t>
      </w:r>
    </w:p>
    <w:p w14:paraId="60FA7858" w14:textId="77777777" w:rsidR="00E02032" w:rsidRPr="00E72C8F" w:rsidRDefault="00E02032" w:rsidP="00E02032">
      <w:pPr>
        <w:pStyle w:val="ListParagraph"/>
        <w:numPr>
          <w:ilvl w:val="0"/>
          <w:numId w:val="24"/>
        </w:numPr>
        <w:shd w:val="clear" w:color="auto" w:fill="E7E6E6" w:themeFill="background2"/>
        <w:jc w:val="both"/>
        <w:rPr>
          <w:rFonts w:cstheme="minorHAnsi"/>
        </w:rPr>
      </w:pPr>
      <w:r w:rsidRPr="00E72C8F">
        <w:rPr>
          <w:rFonts w:cstheme="minorHAnsi"/>
        </w:rPr>
        <w:t>En mettant les femmes en danger lors de l'accès aux activités ou aux services du projet, aux environnements dangereux, aux espaces de travail, aux routes, aux écoles?</w:t>
      </w:r>
    </w:p>
    <w:p w14:paraId="03E7BE6F" w14:textId="77777777" w:rsidR="00E02032" w:rsidRPr="00E72C8F" w:rsidRDefault="00E02032" w:rsidP="00E02032">
      <w:pPr>
        <w:pStyle w:val="ListParagraph"/>
        <w:numPr>
          <w:ilvl w:val="0"/>
          <w:numId w:val="24"/>
        </w:numPr>
        <w:shd w:val="clear" w:color="auto" w:fill="E7E6E6" w:themeFill="background2"/>
        <w:jc w:val="both"/>
        <w:rPr>
          <w:rFonts w:cstheme="minorHAnsi"/>
        </w:rPr>
      </w:pPr>
      <w:r w:rsidRPr="00E72C8F">
        <w:rPr>
          <w:rFonts w:cstheme="minorHAnsi"/>
        </w:rPr>
        <w:t>En ne créant pas les conditions d'un environnement de travail sûr et respectueux dans lequel le personnel féminin peut être harcelé ou maltraité?</w:t>
      </w:r>
    </w:p>
    <w:p w14:paraId="6C816277" w14:textId="77777777" w:rsidR="00E02032" w:rsidRDefault="00E02032" w:rsidP="00E02032">
      <w:pPr>
        <w:jc w:val="both"/>
        <w:rPr>
          <w:rFonts w:cstheme="minorHAnsi"/>
        </w:rPr>
      </w:pPr>
    </w:p>
    <w:p w14:paraId="3AAB6DA3" w14:textId="7451F129" w:rsidR="00E02032" w:rsidRDefault="00E02032" w:rsidP="00E02032">
      <w:pPr>
        <w:jc w:val="both"/>
        <w:rPr>
          <w:rFonts w:cstheme="minorHAnsi"/>
        </w:rPr>
      </w:pPr>
      <w:r>
        <w:rPr>
          <w:rFonts w:cstheme="minorHAnsi"/>
        </w:rPr>
        <w:t xml:space="preserve">Considérant la nature transversale des composantes du projet </w:t>
      </w:r>
      <w:r w:rsidR="00063D35" w:rsidRPr="005A0035">
        <w:rPr>
          <w:rFonts w:cstheme="minorHAnsi"/>
        </w:rPr>
        <w:t>Maïngo</w:t>
      </w:r>
      <w:r>
        <w:rPr>
          <w:rFonts w:cstheme="minorHAnsi"/>
        </w:rPr>
        <w:t>, l’analyse des risques s’est penchée sur les risques inhérents aux activités prévues par les différents volets du projet dans différents secteurs : celui de la santé, de l’éducation/apprentissage et du renforcement des connaissances et compétences des femmes et des filles visant à renforcer leur accès à l’emploi et leurs potentiels d’autonomisation.</w:t>
      </w:r>
    </w:p>
    <w:p w14:paraId="5D99CA2C" w14:textId="77777777" w:rsidR="00E02032" w:rsidRDefault="00E02032" w:rsidP="00E02032">
      <w:pPr>
        <w:jc w:val="both"/>
        <w:rPr>
          <w:rFonts w:cstheme="minorHAnsi"/>
        </w:rPr>
      </w:pPr>
      <w:r>
        <w:rPr>
          <w:rFonts w:cstheme="minorHAnsi"/>
        </w:rPr>
        <w:lastRenderedPageBreak/>
        <w:t xml:space="preserve">De plus, l’analyse des risques s’appuie sur des données et incorpore des éléments d’analyse des risques d’EAS et HS qui ont été conduites dans le cadre de la planification et mise en œuvre d’autres projets du portefeuille de la Banque mondiale dans ces mêmes secteurs clés. </w:t>
      </w:r>
    </w:p>
    <w:p w14:paraId="6FEDF085" w14:textId="77777777" w:rsidR="00E02032" w:rsidRDefault="00E02032" w:rsidP="00E02032">
      <w:pPr>
        <w:pStyle w:val="FootnoteText"/>
        <w:jc w:val="both"/>
        <w:rPr>
          <w:rFonts w:cstheme="minorHAnsi"/>
          <w:sz w:val="22"/>
          <w:szCs w:val="22"/>
        </w:rPr>
      </w:pPr>
      <w:r w:rsidRPr="00372929">
        <w:rPr>
          <w:rFonts w:cstheme="minorHAnsi"/>
          <w:sz w:val="22"/>
          <w:szCs w:val="22"/>
        </w:rPr>
        <w:t>Cette approche a aussi été appliquée au développement des mesures clés d’atténuation des risques du projet. Celles-ci s’appuient sur les recommandations de la Note de Bonnes Pratiques de la Banque</w:t>
      </w:r>
      <w:r w:rsidRPr="00372929">
        <w:rPr>
          <w:rStyle w:val="FootnoteReference"/>
          <w:rFonts w:cstheme="minorHAnsi"/>
          <w:sz w:val="22"/>
          <w:szCs w:val="22"/>
        </w:rPr>
        <w:footnoteReference w:id="25"/>
      </w:r>
      <w:r w:rsidRPr="00372929">
        <w:rPr>
          <w:rFonts w:cstheme="minorHAnsi"/>
          <w:sz w:val="22"/>
          <w:szCs w:val="22"/>
        </w:rPr>
        <w:t xml:space="preserve"> ainsi que sur les plans d’actions et stratégies développées dans le cadre des projets mis en place dans ces mêmes secteurs. Il s’agit de promouvoir par cette approche la coordination par les Unités de gestion de projets rattachés aux différents Ministères concernés entre les stratégies et efforts déjà prévus ou entrepris pour atténuer les risques d’EAS et HS des interventions de la Banque en </w:t>
      </w:r>
      <w:r>
        <w:rPr>
          <w:rFonts w:cstheme="minorHAnsi"/>
          <w:color w:val="000000"/>
          <w:sz w:val="22"/>
          <w:szCs w:val="22"/>
        </w:rPr>
        <w:t>République centrafricaine</w:t>
      </w:r>
      <w:r>
        <w:rPr>
          <w:rFonts w:cstheme="minorHAnsi"/>
          <w:sz w:val="22"/>
          <w:szCs w:val="22"/>
        </w:rPr>
        <w:t xml:space="preserve"> (y compris les partenariats stratégiques avec les acteurs clés de la prévention/réponse aux VBG qu’il s’agisse des agences onusiennes ou des organisations non-gouvernementales nationales et internationales)</w:t>
      </w:r>
      <w:r w:rsidRPr="00372929">
        <w:rPr>
          <w:rFonts w:cstheme="minorHAnsi"/>
          <w:sz w:val="22"/>
          <w:szCs w:val="22"/>
        </w:rPr>
        <w:t>. Il s’agit aussi d’éviter la duplication des efforts, la redondance de certaines activités et de promouvoir les échanges de bonnes pratiques en matière de stratégie de prévention et d’atténuation des risques d’EAS et HS. Cette approche transversale ambitionne d’être plus efficace et efficiente.</w:t>
      </w:r>
    </w:p>
    <w:p w14:paraId="163105CC" w14:textId="77777777" w:rsidR="00E02032" w:rsidRDefault="00E02032" w:rsidP="00E02032">
      <w:pPr>
        <w:pStyle w:val="FootnoteText"/>
        <w:jc w:val="both"/>
        <w:rPr>
          <w:rFonts w:cstheme="minorHAnsi"/>
          <w:sz w:val="22"/>
          <w:szCs w:val="22"/>
        </w:rPr>
      </w:pPr>
    </w:p>
    <w:p w14:paraId="71B810BD" w14:textId="77777777" w:rsidR="00E02032" w:rsidRDefault="00E02032" w:rsidP="00E02032">
      <w:pPr>
        <w:pStyle w:val="FootnoteText"/>
        <w:jc w:val="both"/>
        <w:rPr>
          <w:rFonts w:cstheme="minorHAnsi"/>
          <w:sz w:val="22"/>
          <w:szCs w:val="22"/>
        </w:rPr>
      </w:pPr>
      <w:r>
        <w:rPr>
          <w:rFonts w:cstheme="minorHAnsi"/>
          <w:sz w:val="22"/>
          <w:szCs w:val="22"/>
        </w:rPr>
        <w:t>Enfin, la stratégie d’atténuation des risques propose de créer des liens avec les composantes de projets comportant des volets spécifiques à la prévention et réponse aux VBG en RCA, tel que le projet SENI</w:t>
      </w:r>
      <w:r>
        <w:rPr>
          <w:rStyle w:val="FootnoteReference"/>
          <w:rFonts w:cstheme="minorHAnsi"/>
          <w:sz w:val="22"/>
          <w:szCs w:val="22"/>
        </w:rPr>
        <w:footnoteReference w:id="26"/>
      </w:r>
      <w:r>
        <w:rPr>
          <w:rFonts w:cstheme="minorHAnsi"/>
          <w:sz w:val="22"/>
          <w:szCs w:val="22"/>
        </w:rPr>
        <w:t xml:space="preserve"> qui comporte une composante spécifique à la prise en charge médicale et psycho-sociale des femmes et filles survivantes de VBG</w:t>
      </w:r>
      <w:r>
        <w:rPr>
          <w:rStyle w:val="FootnoteReference"/>
          <w:rFonts w:cstheme="minorHAnsi"/>
          <w:sz w:val="22"/>
          <w:szCs w:val="22"/>
        </w:rPr>
        <w:footnoteReference w:id="27"/>
      </w:r>
      <w:r>
        <w:rPr>
          <w:rFonts w:cstheme="minorHAnsi"/>
          <w:sz w:val="22"/>
          <w:szCs w:val="22"/>
        </w:rPr>
        <w:t>, et PAPSE II</w:t>
      </w:r>
      <w:r>
        <w:rPr>
          <w:rStyle w:val="FootnoteReference"/>
          <w:rFonts w:cstheme="minorHAnsi"/>
          <w:sz w:val="22"/>
          <w:szCs w:val="22"/>
        </w:rPr>
        <w:footnoteReference w:id="28"/>
      </w:r>
      <w:r>
        <w:rPr>
          <w:rFonts w:cstheme="minorHAnsi"/>
          <w:sz w:val="22"/>
          <w:szCs w:val="22"/>
        </w:rPr>
        <w:t xml:space="preserve">. </w:t>
      </w:r>
    </w:p>
    <w:p w14:paraId="3D671440" w14:textId="77777777" w:rsidR="00E02032" w:rsidRPr="00422D4F" w:rsidRDefault="00E02032" w:rsidP="00E02032">
      <w:pPr>
        <w:jc w:val="both"/>
        <w:rPr>
          <w:rFonts w:cstheme="minorHAnsi"/>
        </w:rPr>
      </w:pPr>
    </w:p>
    <w:p w14:paraId="3680C32D" w14:textId="77777777" w:rsidR="00E02032" w:rsidRPr="002D1AE7" w:rsidRDefault="00E02032" w:rsidP="00E02032">
      <w:pPr>
        <w:pStyle w:val="Heading3"/>
        <w:rPr>
          <w:rFonts w:asciiTheme="minorHAnsi" w:hAnsiTheme="minorHAnsi" w:cstheme="minorHAnsi"/>
        </w:rPr>
      </w:pPr>
      <w:bookmarkStart w:id="24" w:name="_Toc68269620"/>
      <w:r w:rsidRPr="002D1AE7">
        <w:rPr>
          <w:rFonts w:asciiTheme="minorHAnsi" w:hAnsiTheme="minorHAnsi" w:cstheme="minorHAnsi"/>
        </w:rPr>
        <w:t xml:space="preserve">5.1 Consultations </w:t>
      </w:r>
      <w:r>
        <w:rPr>
          <w:rFonts w:asciiTheme="minorHAnsi" w:hAnsiTheme="minorHAnsi" w:cstheme="minorHAnsi"/>
        </w:rPr>
        <w:t>communautaires</w:t>
      </w:r>
      <w:r w:rsidRPr="002D1AE7">
        <w:rPr>
          <w:rFonts w:asciiTheme="minorHAnsi" w:hAnsiTheme="minorHAnsi" w:cstheme="minorHAnsi"/>
        </w:rPr>
        <w:t xml:space="preserve"> rév</w:t>
      </w:r>
      <w:r>
        <w:rPr>
          <w:rFonts w:asciiTheme="minorHAnsi" w:hAnsiTheme="minorHAnsi" w:cstheme="minorHAnsi"/>
        </w:rPr>
        <w:t xml:space="preserve">élant </w:t>
      </w:r>
      <w:r w:rsidRPr="002D1AE7">
        <w:rPr>
          <w:rFonts w:asciiTheme="minorHAnsi" w:hAnsiTheme="minorHAnsi" w:cstheme="minorHAnsi"/>
        </w:rPr>
        <w:t>un risque élevé de VBG</w:t>
      </w:r>
      <w:bookmarkEnd w:id="24"/>
      <w:r w:rsidRPr="002D1AE7">
        <w:rPr>
          <w:rFonts w:asciiTheme="minorHAnsi" w:hAnsiTheme="minorHAnsi" w:cstheme="minorHAnsi"/>
        </w:rPr>
        <w:t xml:space="preserve"> </w:t>
      </w:r>
    </w:p>
    <w:p w14:paraId="04CC6CB8" w14:textId="77777777" w:rsidR="00E02032" w:rsidRDefault="00E02032" w:rsidP="00E02032">
      <w:pPr>
        <w:jc w:val="both"/>
        <w:rPr>
          <w:rFonts w:cstheme="minorHAnsi"/>
        </w:rPr>
      </w:pPr>
    </w:p>
    <w:p w14:paraId="31737A61" w14:textId="77777777" w:rsidR="00E02032" w:rsidRDefault="00E02032" w:rsidP="00E02032">
      <w:pPr>
        <w:jc w:val="both"/>
        <w:rPr>
          <w:rFonts w:cstheme="minorHAnsi"/>
        </w:rPr>
      </w:pPr>
      <w:r w:rsidRPr="007F70D8">
        <w:rPr>
          <w:rFonts w:cstheme="minorHAnsi"/>
          <w:b/>
          <w:bCs/>
        </w:rPr>
        <w:t xml:space="preserve">Les résultats des consultations conduites auprès des communautés centrafricaines ainsi que des organisations de la société civile lors de la phase préparatoire du projet </w:t>
      </w:r>
      <w:r>
        <w:rPr>
          <w:rFonts w:cstheme="minorHAnsi"/>
          <w:b/>
          <w:bCs/>
        </w:rPr>
        <w:t xml:space="preserve">Maïngo au mois de décembre 2020 </w:t>
      </w:r>
      <w:r w:rsidRPr="007F70D8">
        <w:rPr>
          <w:rFonts w:cstheme="minorHAnsi"/>
          <w:b/>
          <w:bCs/>
        </w:rPr>
        <w:t>corroborent les données statistiques sur la très haute prévalence des différentes formes de VBG et EAS en RCA</w:t>
      </w:r>
      <w:r>
        <w:rPr>
          <w:rStyle w:val="FootnoteReference"/>
          <w:rFonts w:cstheme="minorHAnsi"/>
          <w:b/>
          <w:bCs/>
        </w:rPr>
        <w:footnoteReference w:id="29"/>
      </w:r>
      <w:r w:rsidRPr="007F70D8">
        <w:rPr>
          <w:rFonts w:cstheme="minorHAnsi"/>
          <w:b/>
          <w:bCs/>
        </w:rPr>
        <w:t>.</w:t>
      </w:r>
      <w:r>
        <w:rPr>
          <w:rFonts w:cstheme="minorHAnsi"/>
        </w:rPr>
        <w:t xml:space="preserve"> Ils apportent aussi des éclaircissements sur les normes de genre qui constituent les fondations des inégalités femmes-hommes et les principaux facteurs de risques des VBG (tels que les mariages forcés, l’importance accordée à la fertilité des jeunes femmes mariées, les perceptions négatives relatives aux méthodes de contraception, etc.). </w:t>
      </w:r>
    </w:p>
    <w:p w14:paraId="362AA32C" w14:textId="77777777" w:rsidR="00E02032" w:rsidRDefault="00E02032" w:rsidP="00E02032">
      <w:pPr>
        <w:jc w:val="both"/>
        <w:rPr>
          <w:rFonts w:cstheme="minorHAnsi"/>
        </w:rPr>
      </w:pPr>
      <w:r>
        <w:rPr>
          <w:rFonts w:cstheme="minorHAnsi"/>
        </w:rPr>
        <w:t>Il est par exemple noté que « le</w:t>
      </w:r>
      <w:r w:rsidRPr="00CE24C2">
        <w:rPr>
          <w:rFonts w:cstheme="minorHAnsi"/>
        </w:rPr>
        <w:t xml:space="preserve"> conflit en cours dans le pays a eu des effets dévastateurs pour tous, mais en particulier pour les femmes et les filles. Les hommes et les femmes s'inquiètent des conflits armés et de l'instabilité politique, mais les femmes s'inquiètent également des viols et des agressions physiques. Les acteurs des </w:t>
      </w:r>
      <w:r>
        <w:rPr>
          <w:rFonts w:cstheme="minorHAnsi"/>
        </w:rPr>
        <w:t>organisations de la société civile (OSC)</w:t>
      </w:r>
      <w:r w:rsidRPr="00CE24C2">
        <w:rPr>
          <w:rFonts w:cstheme="minorHAnsi"/>
        </w:rPr>
        <w:t xml:space="preserve"> ont rapporté que les parents s'inquiètent du viol de leurs filles et de l'implication de leurs enfants dans la rébellion armée</w:t>
      </w:r>
      <w:r>
        <w:rPr>
          <w:rFonts w:cstheme="minorHAnsi"/>
        </w:rPr>
        <w:t> »</w:t>
      </w:r>
      <w:r>
        <w:rPr>
          <w:rStyle w:val="FootnoteReference"/>
          <w:rFonts w:cstheme="minorHAnsi"/>
        </w:rPr>
        <w:footnoteReference w:id="30"/>
      </w:r>
      <w:r w:rsidRPr="00CE24C2">
        <w:rPr>
          <w:rFonts w:cstheme="minorHAnsi"/>
        </w:rPr>
        <w:t>.</w:t>
      </w:r>
      <w:r>
        <w:rPr>
          <w:rFonts w:cstheme="minorHAnsi"/>
        </w:rPr>
        <w:t xml:space="preserve"> </w:t>
      </w:r>
    </w:p>
    <w:p w14:paraId="1CC290D9" w14:textId="77777777" w:rsidR="00E02032" w:rsidRDefault="00E02032" w:rsidP="00E02032">
      <w:pPr>
        <w:jc w:val="both"/>
        <w:rPr>
          <w:rFonts w:cstheme="minorHAnsi"/>
        </w:rPr>
      </w:pPr>
      <w:r>
        <w:rPr>
          <w:rFonts w:cstheme="minorHAnsi"/>
        </w:rPr>
        <w:lastRenderedPageBreak/>
        <w:t xml:space="preserve">Ces consultations contribuent à considérer un niveau de risque élevé au projet Maïngo lié aux prévalences importantes de VBG dans le contexte centrafricain. </w:t>
      </w:r>
    </w:p>
    <w:p w14:paraId="6F3BA1B5" w14:textId="77777777" w:rsidR="00E02032" w:rsidRPr="00F411FA" w:rsidRDefault="00E02032" w:rsidP="00E02032">
      <w:pPr>
        <w:pStyle w:val="Heading3"/>
        <w:jc w:val="both"/>
        <w:rPr>
          <w:rFonts w:asciiTheme="minorHAnsi" w:hAnsiTheme="minorHAnsi" w:cstheme="minorHAnsi"/>
        </w:rPr>
      </w:pPr>
      <w:bookmarkStart w:id="25" w:name="_Toc68269621"/>
      <w:r w:rsidRPr="00F411FA">
        <w:rPr>
          <w:rFonts w:asciiTheme="minorHAnsi" w:hAnsiTheme="minorHAnsi" w:cstheme="minorHAnsi"/>
        </w:rPr>
        <w:t>5.2 Risques de VBG, EAS et HS des activités envisagées dans les « </w:t>
      </w:r>
      <w:r>
        <w:rPr>
          <w:rFonts w:asciiTheme="minorHAnsi" w:hAnsiTheme="minorHAnsi" w:cstheme="minorHAnsi"/>
        </w:rPr>
        <w:t>e</w:t>
      </w:r>
      <w:r w:rsidRPr="00F411FA">
        <w:rPr>
          <w:rFonts w:asciiTheme="minorHAnsi" w:hAnsiTheme="minorHAnsi" w:cstheme="minorHAnsi"/>
        </w:rPr>
        <w:t xml:space="preserve">spaces </w:t>
      </w:r>
      <w:r>
        <w:rPr>
          <w:rFonts w:asciiTheme="minorHAnsi" w:hAnsiTheme="minorHAnsi" w:cstheme="minorHAnsi"/>
        </w:rPr>
        <w:t>s</w:t>
      </w:r>
      <w:r w:rsidRPr="00F411FA">
        <w:rPr>
          <w:rFonts w:asciiTheme="minorHAnsi" w:hAnsiTheme="minorHAnsi" w:cstheme="minorHAnsi"/>
        </w:rPr>
        <w:t>ûrs »</w:t>
      </w:r>
      <w:r>
        <w:rPr>
          <w:rFonts w:asciiTheme="minorHAnsi" w:hAnsiTheme="minorHAnsi" w:cstheme="minorHAnsi"/>
        </w:rPr>
        <w:t xml:space="preserve"> </w:t>
      </w:r>
      <w:r w:rsidRPr="00F411FA">
        <w:rPr>
          <w:rFonts w:asciiTheme="minorHAnsi" w:hAnsiTheme="minorHAnsi" w:cstheme="minorHAnsi"/>
        </w:rPr>
        <w:t>(Composante 1)</w:t>
      </w:r>
      <w:bookmarkEnd w:id="25"/>
    </w:p>
    <w:p w14:paraId="5DB78487" w14:textId="77777777" w:rsidR="00E02032" w:rsidRDefault="00E02032" w:rsidP="00E02032">
      <w:pPr>
        <w:jc w:val="both"/>
        <w:rPr>
          <w:rFonts w:cstheme="minorHAnsi"/>
          <w:b/>
          <w:bCs/>
        </w:rPr>
      </w:pPr>
    </w:p>
    <w:p w14:paraId="64641EE9" w14:textId="77777777" w:rsidR="00E02032" w:rsidRPr="00771D04" w:rsidRDefault="00E02032" w:rsidP="00E02032">
      <w:pPr>
        <w:jc w:val="both"/>
        <w:rPr>
          <w:rFonts w:cstheme="minorHAnsi"/>
          <w:b/>
          <w:bCs/>
        </w:rPr>
      </w:pPr>
      <w:r w:rsidRPr="00C82915">
        <w:rPr>
          <w:rFonts w:cstheme="minorHAnsi"/>
          <w:b/>
          <w:bCs/>
        </w:rPr>
        <w:t xml:space="preserve">Le projet Maïngo prévoit la mise en place d’espaces sûrs au sein desquels se dérouleront des activités destinées aux femmes et aux filles </w:t>
      </w:r>
      <w:r>
        <w:rPr>
          <w:rFonts w:cstheme="minorHAnsi"/>
          <w:b/>
          <w:bCs/>
        </w:rPr>
        <w:t xml:space="preserve">âgées de 10 à 24 ans </w:t>
      </w:r>
      <w:r w:rsidRPr="00C82915">
        <w:rPr>
          <w:rFonts w:cstheme="minorHAnsi"/>
          <w:b/>
          <w:bCs/>
        </w:rPr>
        <w:t xml:space="preserve">(récréatives, et programmes de développement des compétences basiques en lecture, écriture, etc. ; ainsi que des compétences interpersonnelles et enfin d’autres pans de la stratégie d’autonomisation des femmes et des filles). </w:t>
      </w:r>
      <w:r w:rsidRPr="0028792E">
        <w:rPr>
          <w:rFonts w:cstheme="minorHAnsi"/>
        </w:rPr>
        <w:t xml:space="preserve">Il s’agit de s’assurer dans un premier temps que la mise en place </w:t>
      </w:r>
      <w:r>
        <w:rPr>
          <w:rFonts w:cstheme="minorHAnsi"/>
        </w:rPr>
        <w:t xml:space="preserve">par le projet </w:t>
      </w:r>
      <w:r w:rsidRPr="0028792E">
        <w:rPr>
          <w:rFonts w:cstheme="minorHAnsi"/>
        </w:rPr>
        <w:t xml:space="preserve">des </w:t>
      </w:r>
      <w:r>
        <w:rPr>
          <w:rFonts w:cstheme="minorHAnsi"/>
        </w:rPr>
        <w:t>e</w:t>
      </w:r>
      <w:r w:rsidRPr="0028792E">
        <w:rPr>
          <w:rFonts w:cstheme="minorHAnsi"/>
        </w:rPr>
        <w:t xml:space="preserve">spaces </w:t>
      </w:r>
      <w:r>
        <w:rPr>
          <w:rFonts w:cstheme="minorHAnsi"/>
        </w:rPr>
        <w:t>s</w:t>
      </w:r>
      <w:r w:rsidRPr="0028792E">
        <w:rPr>
          <w:rFonts w:cstheme="minorHAnsi"/>
        </w:rPr>
        <w:t>ûrs suit les principes fondamentaux sous-jacents à la création de ces espaces</w:t>
      </w:r>
      <w:r>
        <w:rPr>
          <w:rStyle w:val="FootnoteReference"/>
          <w:rFonts w:cstheme="minorHAnsi"/>
        </w:rPr>
        <w:footnoteReference w:id="31"/>
      </w:r>
      <w:r w:rsidRPr="0028792E">
        <w:rPr>
          <w:rFonts w:cstheme="minorHAnsi"/>
        </w:rPr>
        <w:t xml:space="preserve"> : </w:t>
      </w:r>
    </w:p>
    <w:p w14:paraId="7002B1C0" w14:textId="77777777" w:rsidR="00E02032" w:rsidRPr="00723CDC" w:rsidRDefault="00E02032" w:rsidP="00E02032">
      <w:pPr>
        <w:pStyle w:val="ListParagraph"/>
        <w:numPr>
          <w:ilvl w:val="1"/>
          <w:numId w:val="16"/>
        </w:numPr>
        <w:ind w:left="851"/>
        <w:jc w:val="both"/>
        <w:rPr>
          <w:rFonts w:eastAsiaTheme="majorEastAsia" w:cstheme="minorHAnsi"/>
          <w:color w:val="1F3763" w:themeColor="accent1" w:themeShade="7F"/>
          <w:sz w:val="24"/>
          <w:szCs w:val="24"/>
        </w:rPr>
      </w:pPr>
      <w:r w:rsidRPr="00BD5C57">
        <w:rPr>
          <w:rFonts w:cstheme="minorHAnsi"/>
          <w:b/>
          <w:bCs/>
        </w:rPr>
        <w:t>Autonomisation des femmes et des filles comme principe fondateur</w:t>
      </w:r>
      <w:r>
        <w:rPr>
          <w:rFonts w:cstheme="minorHAnsi"/>
        </w:rPr>
        <w:t xml:space="preserve"> : les espaces doivent impliquer les femmes et les filles à chacune des étapes clés de la mise en place des espaces sûrs ainsi que des projets et activités que les espaces proposent. Les femmes et les filles doivent exercer une participation maximale afin de se sentir pleinement impliquées dans les espaces et les interventions qu’ils offrent. Ceci implique par exemple la nécessité d’impliquer les femmes et les filles dans les décisions relatives aux heures d’ouvertures et aux contenus des activités proposées. </w:t>
      </w:r>
    </w:p>
    <w:p w14:paraId="3269FC2D" w14:textId="77777777" w:rsidR="00E02032" w:rsidRPr="00784B5B" w:rsidRDefault="00E02032" w:rsidP="00E02032">
      <w:pPr>
        <w:pStyle w:val="ListParagraph"/>
        <w:ind w:left="851"/>
        <w:jc w:val="both"/>
        <w:rPr>
          <w:rFonts w:eastAsiaTheme="majorEastAsia" w:cstheme="minorHAnsi"/>
          <w:color w:val="1F3763" w:themeColor="accent1" w:themeShade="7F"/>
          <w:sz w:val="24"/>
          <w:szCs w:val="24"/>
        </w:rPr>
      </w:pPr>
    </w:p>
    <w:p w14:paraId="26FC13B4" w14:textId="77777777" w:rsidR="00E02032" w:rsidRDefault="00E02032" w:rsidP="00E02032">
      <w:pPr>
        <w:pStyle w:val="ListParagraph"/>
        <w:numPr>
          <w:ilvl w:val="1"/>
          <w:numId w:val="16"/>
        </w:numPr>
        <w:ind w:left="851"/>
        <w:jc w:val="both"/>
        <w:rPr>
          <w:rFonts w:cstheme="minorHAnsi"/>
        </w:rPr>
      </w:pPr>
      <w:r w:rsidRPr="00BD5C57">
        <w:rPr>
          <w:rFonts w:cstheme="minorHAnsi"/>
          <w:b/>
          <w:bCs/>
        </w:rPr>
        <w:t>Approche centrée sur les besoins des survivantes de VBG</w:t>
      </w:r>
      <w:r>
        <w:rPr>
          <w:rFonts w:cstheme="minorHAnsi"/>
        </w:rPr>
        <w:t xml:space="preserve"> : la sûreté, la sécurité et la confidentialité des femmes et des filles doivent se situer au cœur des espaces, de leurs activités et services. Leurs souhaits, choix et droits doivent être respectés et les membres des communautés en charge de la gestion de ces espaces doivent être formées au principe de non-discrimination. </w:t>
      </w:r>
      <w:r w:rsidRPr="00723CDC">
        <w:rPr>
          <w:rFonts w:cstheme="minorHAnsi"/>
        </w:rPr>
        <w:t xml:space="preserve">Cela inclue également la nécessaire protection des données et informations qui doit être garantie. </w:t>
      </w:r>
    </w:p>
    <w:p w14:paraId="2F8CB390" w14:textId="77777777" w:rsidR="00E02032" w:rsidRPr="00723CDC" w:rsidRDefault="00E02032" w:rsidP="00E02032">
      <w:pPr>
        <w:pStyle w:val="ListParagraph"/>
        <w:rPr>
          <w:rFonts w:cstheme="minorHAnsi"/>
          <w:b/>
          <w:bCs/>
        </w:rPr>
      </w:pPr>
    </w:p>
    <w:p w14:paraId="43D1669E" w14:textId="77777777" w:rsidR="00E02032" w:rsidRPr="00723CDC" w:rsidRDefault="00E02032" w:rsidP="00E02032">
      <w:pPr>
        <w:pStyle w:val="ListParagraph"/>
        <w:numPr>
          <w:ilvl w:val="1"/>
          <w:numId w:val="16"/>
        </w:numPr>
        <w:ind w:left="851"/>
        <w:jc w:val="both"/>
        <w:rPr>
          <w:rFonts w:cstheme="minorHAnsi"/>
        </w:rPr>
      </w:pPr>
      <w:r w:rsidRPr="00723CDC">
        <w:rPr>
          <w:rFonts w:cstheme="minorHAnsi"/>
          <w:b/>
          <w:bCs/>
        </w:rPr>
        <w:t>Espace sûr et accessible</w:t>
      </w:r>
      <w:r w:rsidRPr="00723CDC">
        <w:rPr>
          <w:rFonts w:cstheme="minorHAnsi"/>
        </w:rPr>
        <w:t xml:space="preserve"> : l’espace doit être accessible aux femmes et aux filles et leurs garantir sécurité et intimité. Le choix des lieux pour la localisation des espaces doit se faire avec les femmes et les filles. Le soutien aux coûts de transports doivent éventuellement être prévus pour soutenir et favoriser l’accès des femmes et des filles aux espaces. </w:t>
      </w:r>
      <w:r>
        <w:rPr>
          <w:rFonts w:cstheme="minorHAnsi"/>
        </w:rPr>
        <w:t xml:space="preserve">Enfin les espaces doivent être accessibles aux femmes et aux filles en situation de handicap. </w:t>
      </w:r>
    </w:p>
    <w:p w14:paraId="535A83EE" w14:textId="77777777" w:rsidR="00E02032" w:rsidRPr="00BD5C57" w:rsidRDefault="00E02032" w:rsidP="00E02032">
      <w:pPr>
        <w:pStyle w:val="ListParagraph"/>
        <w:ind w:left="851"/>
        <w:jc w:val="both"/>
        <w:rPr>
          <w:rFonts w:cstheme="minorHAnsi"/>
        </w:rPr>
      </w:pPr>
    </w:p>
    <w:p w14:paraId="528414B5" w14:textId="77777777" w:rsidR="00E02032" w:rsidRDefault="00E02032" w:rsidP="00E02032">
      <w:pPr>
        <w:pStyle w:val="ListParagraph"/>
        <w:numPr>
          <w:ilvl w:val="1"/>
          <w:numId w:val="16"/>
        </w:numPr>
        <w:ind w:left="851"/>
        <w:jc w:val="both"/>
        <w:rPr>
          <w:rFonts w:cstheme="minorHAnsi"/>
        </w:rPr>
      </w:pPr>
      <w:r w:rsidRPr="00BD5C57">
        <w:rPr>
          <w:rFonts w:cstheme="minorHAnsi"/>
          <w:b/>
          <w:bCs/>
        </w:rPr>
        <w:t>Engagement continu de la communauté</w:t>
      </w:r>
      <w:r>
        <w:rPr>
          <w:rFonts w:cstheme="minorHAnsi"/>
        </w:rPr>
        <w:t xml:space="preserve"> : Les espaces doivent être conçus comme des extensions de services communautaires préexistants plutôt que des centres conçus de manière isolée. De plus, bien qu’il soit primordial pour les centres d’être gérés par et pour les femmes et les filles l’engagement de la communauté (parents, maris, leaders communautaires) qui a une influence centrale dans les capacités qu’ont les femmes et les filles à accéder et participer aux activités prévues par les espaces doit être pris en compte. Il est important de mobiliser les membres de la communauté de manière continue afin que les bénéfices et objectifs des espaces soient compris et l’accès aux femmes et aux filles aux espaces favorisé. </w:t>
      </w:r>
    </w:p>
    <w:p w14:paraId="301B3607" w14:textId="77777777" w:rsidR="00E02032" w:rsidRPr="00BD5C57" w:rsidRDefault="00E02032" w:rsidP="00E02032">
      <w:pPr>
        <w:pStyle w:val="ListParagraph"/>
        <w:ind w:left="851"/>
        <w:jc w:val="both"/>
        <w:rPr>
          <w:rFonts w:cstheme="minorHAnsi"/>
        </w:rPr>
      </w:pPr>
    </w:p>
    <w:p w14:paraId="1EF46EF4" w14:textId="77777777" w:rsidR="00E02032" w:rsidRDefault="00E02032" w:rsidP="00E02032">
      <w:pPr>
        <w:pStyle w:val="ListParagraph"/>
        <w:numPr>
          <w:ilvl w:val="1"/>
          <w:numId w:val="16"/>
        </w:numPr>
        <w:ind w:left="851"/>
        <w:jc w:val="both"/>
        <w:rPr>
          <w:rFonts w:cstheme="minorHAnsi"/>
        </w:rPr>
      </w:pPr>
      <w:r w:rsidRPr="0028792E">
        <w:rPr>
          <w:rFonts w:cstheme="minorHAnsi"/>
          <w:b/>
          <w:bCs/>
        </w:rPr>
        <w:t>Approche coordonnée et multisectorielle qui implique l’ensemble des prestataires de services</w:t>
      </w:r>
      <w:r>
        <w:rPr>
          <w:rFonts w:cstheme="minorHAnsi"/>
          <w:b/>
          <w:bCs/>
        </w:rPr>
        <w:t xml:space="preserve"> : </w:t>
      </w:r>
      <w:r w:rsidRPr="0028792E">
        <w:rPr>
          <w:rFonts w:cstheme="minorHAnsi"/>
        </w:rPr>
        <w:t xml:space="preserve">Il est important de considérer les espaces comme partie prenante des mécanismes de prévention et prise en charge des survivantes de VBG, en précisant des procédures opératoires standards y compris des mécanismes de référencement des survivantes vers les services appropriés. </w:t>
      </w:r>
    </w:p>
    <w:p w14:paraId="22515A43" w14:textId="77777777" w:rsidR="00E02032" w:rsidRPr="00723CDC" w:rsidRDefault="00E02032" w:rsidP="00E02032">
      <w:pPr>
        <w:pStyle w:val="ListParagraph"/>
        <w:ind w:left="851"/>
        <w:jc w:val="both"/>
        <w:rPr>
          <w:rFonts w:cstheme="minorHAnsi"/>
        </w:rPr>
      </w:pPr>
    </w:p>
    <w:p w14:paraId="26008B17" w14:textId="77777777" w:rsidR="00E02032" w:rsidRPr="0028792E" w:rsidRDefault="00E02032" w:rsidP="00E02032">
      <w:pPr>
        <w:pStyle w:val="ListParagraph"/>
        <w:numPr>
          <w:ilvl w:val="1"/>
          <w:numId w:val="16"/>
        </w:numPr>
        <w:ind w:left="851"/>
        <w:jc w:val="both"/>
        <w:rPr>
          <w:rFonts w:cstheme="minorHAnsi"/>
        </w:rPr>
      </w:pPr>
      <w:r w:rsidRPr="0028792E">
        <w:rPr>
          <w:rFonts w:cstheme="minorHAnsi"/>
          <w:b/>
          <w:bCs/>
        </w:rPr>
        <w:t>Suivi ciblé / spécifique</w:t>
      </w:r>
      <w:r>
        <w:rPr>
          <w:rFonts w:cstheme="minorHAnsi"/>
          <w:b/>
          <w:bCs/>
        </w:rPr>
        <w:t xml:space="preserve"> : </w:t>
      </w:r>
      <w:r w:rsidRPr="0028792E">
        <w:rPr>
          <w:rFonts w:cstheme="minorHAnsi"/>
        </w:rPr>
        <w:t xml:space="preserve">les espaces doivent être suffisamment attractifs pour que les femmes et les filles s’y sentent bienvenues, pour cela il est important de trouver l’équilibre nécessaire entre des activités mais aussi des temps de socialisation et d’échanges entre les femmes et les filles.  </w:t>
      </w:r>
    </w:p>
    <w:p w14:paraId="7DE4C785" w14:textId="77777777" w:rsidR="00E02032" w:rsidRPr="00421156" w:rsidRDefault="00E02032" w:rsidP="00E02032">
      <w:pPr>
        <w:rPr>
          <w:rFonts w:cstheme="minorHAnsi"/>
        </w:rPr>
      </w:pPr>
      <w:r w:rsidRPr="00F458DF">
        <w:rPr>
          <w:rFonts w:cstheme="minorHAnsi"/>
        </w:rPr>
        <w:t xml:space="preserve">De manière spécifique, les principaux risques d’EAS et HS appréhendés pour cette composante sont résumés </w:t>
      </w:r>
      <w:r>
        <w:rPr>
          <w:rFonts w:cstheme="minorHAnsi"/>
        </w:rPr>
        <w:t xml:space="preserve">dans le tableau 2 </w:t>
      </w:r>
      <w:r w:rsidRPr="00F458DF">
        <w:rPr>
          <w:rFonts w:cstheme="minorHAnsi"/>
        </w:rPr>
        <w:t>ci-dessous</w:t>
      </w:r>
      <w:r>
        <w:rPr>
          <w:rFonts w:cstheme="minorHAnsi"/>
        </w:rPr>
        <w:t xml:space="preserve">. </w:t>
      </w:r>
    </w:p>
    <w:p w14:paraId="4CC7352C" w14:textId="77777777" w:rsidR="00E02032" w:rsidRDefault="00E02032" w:rsidP="00E02032">
      <w:pPr>
        <w:pStyle w:val="IntenseQuote"/>
      </w:pPr>
      <w:r>
        <w:t xml:space="preserve">Tableau 2 </w:t>
      </w:r>
      <w:r w:rsidRPr="00AB1CF4">
        <w:t>Risques directs et indirects de VBG, EAS et H</w:t>
      </w:r>
      <w:r>
        <w:t xml:space="preserve">S – Composante 1 </w:t>
      </w:r>
    </w:p>
    <w:tbl>
      <w:tblPr>
        <w:tblStyle w:val="TableGrid"/>
        <w:tblW w:w="0" w:type="auto"/>
        <w:tblInd w:w="360" w:type="dxa"/>
        <w:tblLook w:val="04A0" w:firstRow="1" w:lastRow="0" w:firstColumn="1" w:lastColumn="0" w:noHBand="0" w:noVBand="1"/>
      </w:tblPr>
      <w:tblGrid>
        <w:gridCol w:w="8702"/>
      </w:tblGrid>
      <w:tr w:rsidR="00E02032" w:rsidRPr="00723CDC" w14:paraId="3B01C983" w14:textId="77777777" w:rsidTr="00233C12">
        <w:tc>
          <w:tcPr>
            <w:tcW w:w="9062" w:type="dxa"/>
          </w:tcPr>
          <w:p w14:paraId="114FBC91" w14:textId="77777777" w:rsidR="00E02032" w:rsidRPr="00723CDC" w:rsidRDefault="00E02032" w:rsidP="00233C12">
            <w:pPr>
              <w:rPr>
                <w:rFonts w:cstheme="minorHAnsi"/>
                <w:b/>
                <w:bCs/>
              </w:rPr>
            </w:pPr>
            <w:r w:rsidRPr="00723CDC">
              <w:rPr>
                <w:rFonts w:cstheme="minorHAnsi"/>
                <w:b/>
                <w:bCs/>
              </w:rPr>
              <w:t xml:space="preserve">Risques directs de VBG, EAS et HS: </w:t>
            </w:r>
          </w:p>
        </w:tc>
      </w:tr>
      <w:tr w:rsidR="00E02032" w:rsidRPr="00723CDC" w14:paraId="651A4C14" w14:textId="77777777" w:rsidTr="00233C12">
        <w:tc>
          <w:tcPr>
            <w:tcW w:w="9062" w:type="dxa"/>
          </w:tcPr>
          <w:p w14:paraId="4E9C8154" w14:textId="77777777" w:rsidR="00E02032" w:rsidRPr="00723CDC" w:rsidRDefault="00E02032" w:rsidP="00E02032">
            <w:pPr>
              <w:numPr>
                <w:ilvl w:val="0"/>
                <w:numId w:val="6"/>
              </w:numPr>
              <w:spacing w:after="0" w:line="240" w:lineRule="auto"/>
              <w:jc w:val="both"/>
              <w:rPr>
                <w:rFonts w:cstheme="minorHAnsi"/>
              </w:rPr>
            </w:pPr>
            <w:r w:rsidRPr="00723CDC">
              <w:rPr>
                <w:rFonts w:cstheme="minorHAnsi"/>
              </w:rPr>
              <w:t>Risques de VBG si les espaces sûrs ne sont pas établis dans des lieux sûrs choisis avec et pour les femmes et les filles, en concertation avec les membres des communautés qui garantissent l’accès, la confidentialité et la sécurité des femmes et des filles</w:t>
            </w:r>
          </w:p>
        </w:tc>
      </w:tr>
      <w:tr w:rsidR="00E02032" w:rsidRPr="00723CDC" w14:paraId="4DCF702E" w14:textId="77777777" w:rsidTr="00233C12">
        <w:tc>
          <w:tcPr>
            <w:tcW w:w="9062" w:type="dxa"/>
          </w:tcPr>
          <w:p w14:paraId="3CE58FEE" w14:textId="77777777" w:rsidR="00E02032" w:rsidRPr="00723CDC" w:rsidRDefault="00E02032" w:rsidP="00E02032">
            <w:pPr>
              <w:numPr>
                <w:ilvl w:val="0"/>
                <w:numId w:val="6"/>
              </w:numPr>
              <w:spacing w:after="0" w:line="240" w:lineRule="auto"/>
              <w:jc w:val="both"/>
              <w:rPr>
                <w:rFonts w:cstheme="minorHAnsi"/>
              </w:rPr>
            </w:pPr>
            <w:r w:rsidRPr="00723CDC">
              <w:rPr>
                <w:rFonts w:cstheme="minorHAnsi"/>
              </w:rPr>
              <w:t xml:space="preserve">Risques d’EAS et d’abus de pouvoir </w:t>
            </w:r>
            <w:r>
              <w:rPr>
                <w:rFonts w:cstheme="minorHAnsi"/>
              </w:rPr>
              <w:t xml:space="preserve">contre les femmes et les filles </w:t>
            </w:r>
            <w:r w:rsidRPr="00723CDC">
              <w:rPr>
                <w:rFonts w:cstheme="minorHAnsi"/>
              </w:rPr>
              <w:t xml:space="preserve">au sein des espaces </w:t>
            </w:r>
            <w:r>
              <w:rPr>
                <w:rFonts w:cstheme="minorHAnsi"/>
              </w:rPr>
              <w:t xml:space="preserve">sûrs exercés par les membres des communautés les administrant </w:t>
            </w:r>
          </w:p>
        </w:tc>
      </w:tr>
      <w:tr w:rsidR="00E02032" w:rsidRPr="00723CDC" w14:paraId="301EC5B8" w14:textId="77777777" w:rsidTr="00233C12">
        <w:tc>
          <w:tcPr>
            <w:tcW w:w="9062" w:type="dxa"/>
          </w:tcPr>
          <w:p w14:paraId="2A0F82EF" w14:textId="77777777" w:rsidR="00E02032" w:rsidRPr="00723CDC" w:rsidRDefault="00E02032" w:rsidP="00E02032">
            <w:pPr>
              <w:numPr>
                <w:ilvl w:val="0"/>
                <w:numId w:val="6"/>
              </w:numPr>
              <w:spacing w:after="0" w:line="240" w:lineRule="auto"/>
              <w:jc w:val="both"/>
              <w:rPr>
                <w:rFonts w:cstheme="minorHAnsi"/>
              </w:rPr>
            </w:pPr>
            <w:r w:rsidRPr="00060154">
              <w:rPr>
                <w:rFonts w:cstheme="minorHAnsi"/>
              </w:rPr>
              <w:t>Risques</w:t>
            </w:r>
            <w:r>
              <w:rPr>
                <w:rFonts w:cstheme="minorHAnsi"/>
              </w:rPr>
              <w:t xml:space="preserve"> d’EAS et HS</w:t>
            </w:r>
            <w:r w:rsidRPr="00060154">
              <w:rPr>
                <w:rFonts w:cstheme="minorHAnsi"/>
              </w:rPr>
              <w:t xml:space="preserve"> liés à l’absence de code de conduite qui prohibe et sanctionne les EAS et HS</w:t>
            </w:r>
            <w:r>
              <w:rPr>
                <w:rFonts w:cstheme="minorHAnsi"/>
              </w:rPr>
              <w:t xml:space="preserve"> </w:t>
            </w:r>
          </w:p>
        </w:tc>
      </w:tr>
      <w:tr w:rsidR="00E02032" w:rsidRPr="00723CDC" w14:paraId="7224C381" w14:textId="77777777" w:rsidTr="00233C12">
        <w:tc>
          <w:tcPr>
            <w:tcW w:w="9062" w:type="dxa"/>
          </w:tcPr>
          <w:p w14:paraId="2793F4D8" w14:textId="77777777" w:rsidR="00E02032" w:rsidRPr="00723CDC" w:rsidRDefault="00E02032" w:rsidP="00233C12">
            <w:pPr>
              <w:rPr>
                <w:rFonts w:cstheme="minorHAnsi"/>
                <w:b/>
                <w:bCs/>
              </w:rPr>
            </w:pPr>
            <w:r w:rsidRPr="00723CDC">
              <w:rPr>
                <w:rFonts w:cstheme="minorHAnsi"/>
                <w:b/>
                <w:bCs/>
              </w:rPr>
              <w:t xml:space="preserve">Risques indirects de VBG, EAS et HS : </w:t>
            </w:r>
          </w:p>
        </w:tc>
      </w:tr>
      <w:tr w:rsidR="00E02032" w:rsidRPr="00723CDC" w14:paraId="0051F02C" w14:textId="77777777" w:rsidTr="00233C12">
        <w:tc>
          <w:tcPr>
            <w:tcW w:w="9062" w:type="dxa"/>
          </w:tcPr>
          <w:p w14:paraId="076D1F2F" w14:textId="77777777" w:rsidR="00E02032" w:rsidRPr="00723CDC" w:rsidRDefault="00E02032" w:rsidP="00E02032">
            <w:pPr>
              <w:numPr>
                <w:ilvl w:val="0"/>
                <w:numId w:val="6"/>
              </w:numPr>
              <w:spacing w:after="0" w:line="240" w:lineRule="auto"/>
              <w:jc w:val="both"/>
              <w:rPr>
                <w:rFonts w:cstheme="minorHAnsi"/>
              </w:rPr>
            </w:pPr>
            <w:r w:rsidRPr="00723CDC">
              <w:rPr>
                <w:rFonts w:cstheme="minorHAnsi"/>
              </w:rPr>
              <w:t>Risques d’accroître ou exacerber les VBG notamment les violences domestiques si les communautés</w:t>
            </w:r>
            <w:r>
              <w:rPr>
                <w:rFonts w:cstheme="minorHAnsi"/>
              </w:rPr>
              <w:t xml:space="preserve">, notamment les époux/pères/frères </w:t>
            </w:r>
            <w:r w:rsidRPr="00723CDC">
              <w:rPr>
                <w:rFonts w:cstheme="minorHAnsi"/>
              </w:rPr>
              <w:t>ne sont pas pleinement engagées et mobilisées dès la conception et la mise en place des espaces sûrs</w:t>
            </w:r>
            <w:r>
              <w:rPr>
                <w:rFonts w:cstheme="minorHAnsi"/>
              </w:rPr>
              <w:t>. En outre, si les objectifs et activités d’autonomisation des femmes ne sont pas clairement explicités l’émancipation des femmes et des filles peut effectivement donner lieu à des déséquilibres des dynamiques et rôles de genre au sein des ménages, qui sont des facteurs aggravant de violences envers les femmes et les filles.</w:t>
            </w:r>
          </w:p>
        </w:tc>
      </w:tr>
      <w:tr w:rsidR="00E02032" w:rsidRPr="00723CDC" w14:paraId="1ABFE6F3" w14:textId="77777777" w:rsidTr="00233C12">
        <w:tc>
          <w:tcPr>
            <w:tcW w:w="9062" w:type="dxa"/>
          </w:tcPr>
          <w:p w14:paraId="62776DE5" w14:textId="0231687A" w:rsidR="00E02032" w:rsidRPr="00723CDC" w:rsidRDefault="00E02032" w:rsidP="00E02032">
            <w:pPr>
              <w:numPr>
                <w:ilvl w:val="0"/>
                <w:numId w:val="6"/>
              </w:numPr>
              <w:spacing w:after="0" w:line="240" w:lineRule="auto"/>
              <w:jc w:val="both"/>
              <w:rPr>
                <w:rFonts w:cstheme="minorHAnsi"/>
              </w:rPr>
            </w:pPr>
            <w:r w:rsidRPr="00723CDC">
              <w:rPr>
                <w:rFonts w:cstheme="minorHAnsi"/>
              </w:rPr>
              <w:t xml:space="preserve">Risques d’assister à des pratiques néfastes et dangereuses pour les survivantes, liés à l’absence de connaissances et compétences sur les VBG et EAS des personnels et équipes des espaces sûrs </w:t>
            </w:r>
            <w:r w:rsidR="009F39ED">
              <w:rPr>
                <w:rFonts w:cstheme="minorHAnsi"/>
              </w:rPr>
              <w:t xml:space="preserve">et de protocoles de référencements des survivantes </w:t>
            </w:r>
            <w:r w:rsidRPr="00723CDC">
              <w:rPr>
                <w:rFonts w:cstheme="minorHAnsi"/>
              </w:rPr>
              <w:t xml:space="preserve">y compris : </w:t>
            </w:r>
          </w:p>
        </w:tc>
      </w:tr>
      <w:tr w:rsidR="00E02032" w:rsidRPr="00723CDC" w14:paraId="126C0760" w14:textId="77777777" w:rsidTr="00233C12">
        <w:tc>
          <w:tcPr>
            <w:tcW w:w="9062" w:type="dxa"/>
          </w:tcPr>
          <w:p w14:paraId="4F0BCAB3" w14:textId="77777777" w:rsidR="00E02032" w:rsidRPr="00723CDC" w:rsidRDefault="00E02032" w:rsidP="00E02032">
            <w:pPr>
              <w:numPr>
                <w:ilvl w:val="1"/>
                <w:numId w:val="6"/>
              </w:numPr>
              <w:spacing w:after="0" w:line="240" w:lineRule="auto"/>
              <w:ind w:left="851" w:hanging="426"/>
              <w:jc w:val="both"/>
              <w:rPr>
                <w:rFonts w:cstheme="minorHAnsi"/>
              </w:rPr>
            </w:pPr>
            <w:r w:rsidRPr="00723CDC">
              <w:rPr>
                <w:rFonts w:cstheme="minorHAnsi"/>
              </w:rPr>
              <w:t xml:space="preserve">Dans la mise en œuvre d’une approche centrée sur les besoins des survivantes </w:t>
            </w:r>
          </w:p>
        </w:tc>
      </w:tr>
      <w:tr w:rsidR="00E02032" w:rsidRPr="00723CDC" w14:paraId="6DC6C21C" w14:textId="77777777" w:rsidTr="00233C12">
        <w:tc>
          <w:tcPr>
            <w:tcW w:w="9062" w:type="dxa"/>
          </w:tcPr>
          <w:p w14:paraId="5563B940" w14:textId="77777777" w:rsidR="00E02032" w:rsidRPr="00723CDC" w:rsidRDefault="00E02032" w:rsidP="00E02032">
            <w:pPr>
              <w:numPr>
                <w:ilvl w:val="1"/>
                <w:numId w:val="6"/>
              </w:numPr>
              <w:spacing w:after="0" w:line="240" w:lineRule="auto"/>
              <w:ind w:left="851" w:hanging="426"/>
              <w:jc w:val="both"/>
              <w:rPr>
                <w:rFonts w:cstheme="minorHAnsi"/>
              </w:rPr>
            </w:pPr>
            <w:r w:rsidRPr="00723CDC">
              <w:rPr>
                <w:rFonts w:cstheme="minorHAnsi"/>
              </w:rPr>
              <w:t>Dans la collecte et la protection des données sensibles sur les cas de VBG </w:t>
            </w:r>
          </w:p>
        </w:tc>
      </w:tr>
      <w:tr w:rsidR="00E02032" w:rsidRPr="00723CDC" w14:paraId="2873A30B" w14:textId="77777777" w:rsidTr="00233C12">
        <w:tc>
          <w:tcPr>
            <w:tcW w:w="9062" w:type="dxa"/>
          </w:tcPr>
          <w:p w14:paraId="7D11A1A8" w14:textId="77777777" w:rsidR="00E02032" w:rsidRPr="00723CDC" w:rsidRDefault="00E02032" w:rsidP="00E02032">
            <w:pPr>
              <w:numPr>
                <w:ilvl w:val="1"/>
                <w:numId w:val="6"/>
              </w:numPr>
              <w:spacing w:after="0" w:line="240" w:lineRule="auto"/>
              <w:ind w:left="851" w:hanging="426"/>
              <w:jc w:val="both"/>
              <w:rPr>
                <w:rFonts w:cstheme="minorHAnsi"/>
              </w:rPr>
            </w:pPr>
            <w:r w:rsidRPr="00723CDC">
              <w:rPr>
                <w:rFonts w:cstheme="minorHAnsi"/>
              </w:rPr>
              <w:t>Dans l’identification, la détection et la prise en charge des survivantes de VBG y compris les référencements vers les services appropriés (notamment les services médicaux d’urgence pour les cas de viols et autres violations graves qui nécessitent une prise en charge rapide et spécifique)</w:t>
            </w:r>
          </w:p>
        </w:tc>
      </w:tr>
      <w:tr w:rsidR="00E02032" w:rsidRPr="00723CDC" w14:paraId="51B2AC59" w14:textId="77777777" w:rsidTr="00233C12">
        <w:tc>
          <w:tcPr>
            <w:tcW w:w="9062" w:type="dxa"/>
          </w:tcPr>
          <w:p w14:paraId="77429DF5" w14:textId="77777777" w:rsidR="00E02032" w:rsidRPr="00723CDC" w:rsidRDefault="00E02032" w:rsidP="00E02032">
            <w:pPr>
              <w:numPr>
                <w:ilvl w:val="1"/>
                <w:numId w:val="6"/>
              </w:numPr>
              <w:spacing w:after="0" w:line="240" w:lineRule="auto"/>
              <w:ind w:left="851" w:hanging="426"/>
              <w:jc w:val="both"/>
              <w:rPr>
                <w:rFonts w:cstheme="minorHAnsi"/>
              </w:rPr>
            </w:pPr>
            <w:r w:rsidRPr="00723CDC">
              <w:rPr>
                <w:rFonts w:cstheme="minorHAnsi"/>
              </w:rPr>
              <w:t xml:space="preserve">Dans l’identification, la détection et la prise en charge des filles </w:t>
            </w:r>
            <w:r>
              <w:rPr>
                <w:rFonts w:cstheme="minorHAnsi"/>
              </w:rPr>
              <w:t xml:space="preserve">et les adolescentes </w:t>
            </w:r>
            <w:r w:rsidRPr="00723CDC">
              <w:rPr>
                <w:rFonts w:cstheme="minorHAnsi"/>
              </w:rPr>
              <w:t xml:space="preserve">survivantes de VBG nécessitant une approche centrée sur les besoins des survivantes dans le respect des principes /pratiques propres aux enfants survivantes de VBG. </w:t>
            </w:r>
          </w:p>
        </w:tc>
      </w:tr>
      <w:tr w:rsidR="00E02032" w:rsidRPr="00723CDC" w14:paraId="3CC1BA34" w14:textId="77777777" w:rsidTr="00233C12">
        <w:tc>
          <w:tcPr>
            <w:tcW w:w="9062" w:type="dxa"/>
          </w:tcPr>
          <w:p w14:paraId="4E8AC559" w14:textId="77777777" w:rsidR="00E02032" w:rsidRPr="00723CDC" w:rsidRDefault="00E02032" w:rsidP="00E02032">
            <w:pPr>
              <w:numPr>
                <w:ilvl w:val="1"/>
                <w:numId w:val="6"/>
              </w:numPr>
              <w:spacing w:after="0" w:line="240" w:lineRule="auto"/>
              <w:ind w:left="851" w:hanging="426"/>
              <w:jc w:val="both"/>
              <w:rPr>
                <w:rFonts w:cstheme="minorHAnsi"/>
              </w:rPr>
            </w:pPr>
            <w:r w:rsidRPr="00723CDC">
              <w:rPr>
                <w:rFonts w:cstheme="minorHAnsi"/>
              </w:rPr>
              <w:lastRenderedPageBreak/>
              <w:t xml:space="preserve">Dans l’orientation donnée aux survivantes dans un contexte centrafricain où les normes de genre et les inégalités de genre qui en découlent alimentent les VBG (ex. : justification de la violence domestique, des mariages forcés, des MFG, etc.). </w:t>
            </w:r>
          </w:p>
        </w:tc>
      </w:tr>
      <w:tr w:rsidR="00E02032" w:rsidRPr="00723CDC" w14:paraId="01D23C98" w14:textId="77777777" w:rsidTr="00233C12">
        <w:tc>
          <w:tcPr>
            <w:tcW w:w="9062" w:type="dxa"/>
          </w:tcPr>
          <w:p w14:paraId="6F1132AE" w14:textId="77777777" w:rsidR="00E02032" w:rsidRPr="00723CDC" w:rsidRDefault="00E02032" w:rsidP="00E02032">
            <w:pPr>
              <w:numPr>
                <w:ilvl w:val="1"/>
                <w:numId w:val="6"/>
              </w:numPr>
              <w:spacing w:after="0" w:line="240" w:lineRule="auto"/>
              <w:ind w:left="851" w:hanging="425"/>
              <w:jc w:val="both"/>
              <w:rPr>
                <w:rFonts w:cstheme="minorHAnsi"/>
              </w:rPr>
            </w:pPr>
            <w:r w:rsidRPr="00723CDC">
              <w:rPr>
                <w:rFonts w:cstheme="minorHAnsi"/>
              </w:rPr>
              <w:t xml:space="preserve">Dans le recours à des mécanismes traditionnels de résolution de conflits qui ne sont pas centrés sur les besoins des survivantes. </w:t>
            </w:r>
          </w:p>
        </w:tc>
      </w:tr>
    </w:tbl>
    <w:p w14:paraId="796B3E99" w14:textId="77777777" w:rsidR="00E02032" w:rsidRDefault="00E02032" w:rsidP="00E02032">
      <w:pPr>
        <w:spacing w:after="0" w:line="240" w:lineRule="auto"/>
        <w:jc w:val="both"/>
        <w:rPr>
          <w:rFonts w:cstheme="minorHAnsi"/>
        </w:rPr>
      </w:pPr>
    </w:p>
    <w:p w14:paraId="224D7A4F" w14:textId="77777777" w:rsidR="00E02032" w:rsidRDefault="00E02032" w:rsidP="00E02032">
      <w:pPr>
        <w:spacing w:after="0" w:line="240" w:lineRule="auto"/>
        <w:jc w:val="both"/>
        <w:rPr>
          <w:rFonts w:cstheme="minorHAnsi"/>
        </w:rPr>
      </w:pPr>
    </w:p>
    <w:p w14:paraId="1159E385" w14:textId="77777777" w:rsidR="00E02032" w:rsidRPr="008A28C8" w:rsidRDefault="00E02032" w:rsidP="00E02032">
      <w:pPr>
        <w:pStyle w:val="Heading3"/>
        <w:rPr>
          <w:rFonts w:asciiTheme="minorHAnsi" w:hAnsiTheme="minorHAnsi" w:cstheme="minorHAnsi"/>
        </w:rPr>
      </w:pPr>
      <w:bookmarkStart w:id="26" w:name="_Toc68269622"/>
      <w:r w:rsidRPr="008A28C8">
        <w:rPr>
          <w:rFonts w:asciiTheme="minorHAnsi" w:hAnsiTheme="minorHAnsi" w:cstheme="minorHAnsi"/>
        </w:rPr>
        <w:t>5.</w:t>
      </w:r>
      <w:r>
        <w:rPr>
          <w:rFonts w:asciiTheme="minorHAnsi" w:hAnsiTheme="minorHAnsi" w:cstheme="minorHAnsi"/>
        </w:rPr>
        <w:t>3</w:t>
      </w:r>
      <w:r w:rsidRPr="008A28C8">
        <w:rPr>
          <w:rFonts w:asciiTheme="minorHAnsi" w:hAnsiTheme="minorHAnsi" w:cstheme="minorHAnsi"/>
        </w:rPr>
        <w:t xml:space="preserve"> Risques </w:t>
      </w:r>
      <w:r>
        <w:rPr>
          <w:rFonts w:asciiTheme="minorHAnsi" w:hAnsiTheme="minorHAnsi" w:cstheme="minorHAnsi"/>
        </w:rPr>
        <w:t>de VBG, EAS et HS</w:t>
      </w:r>
      <w:r w:rsidRPr="008A28C8">
        <w:rPr>
          <w:rFonts w:asciiTheme="minorHAnsi" w:hAnsiTheme="minorHAnsi" w:cstheme="minorHAnsi"/>
        </w:rPr>
        <w:t xml:space="preserve"> en lien aux activités dans le secteur de la </w:t>
      </w:r>
      <w:r>
        <w:rPr>
          <w:rFonts w:asciiTheme="minorHAnsi" w:hAnsiTheme="minorHAnsi" w:cstheme="minorHAnsi"/>
        </w:rPr>
        <w:t>S</w:t>
      </w:r>
      <w:r w:rsidRPr="008A28C8">
        <w:rPr>
          <w:rFonts w:asciiTheme="minorHAnsi" w:hAnsiTheme="minorHAnsi" w:cstheme="minorHAnsi"/>
        </w:rPr>
        <w:t xml:space="preserve">anté  </w:t>
      </w:r>
      <w:r>
        <w:rPr>
          <w:rFonts w:asciiTheme="minorHAnsi" w:hAnsiTheme="minorHAnsi" w:cstheme="minorHAnsi"/>
        </w:rPr>
        <w:t>(Composante 2.1)</w:t>
      </w:r>
      <w:bookmarkEnd w:id="26"/>
      <w:r>
        <w:rPr>
          <w:rFonts w:asciiTheme="minorHAnsi" w:hAnsiTheme="minorHAnsi" w:cstheme="minorHAnsi"/>
        </w:rPr>
        <w:t xml:space="preserve"> </w:t>
      </w:r>
    </w:p>
    <w:p w14:paraId="407A2F59" w14:textId="77777777" w:rsidR="00E02032" w:rsidRDefault="00E02032" w:rsidP="00E02032">
      <w:pPr>
        <w:jc w:val="both"/>
        <w:rPr>
          <w:rFonts w:cstheme="minorHAnsi"/>
          <w:b/>
          <w:bCs/>
        </w:rPr>
      </w:pPr>
    </w:p>
    <w:p w14:paraId="2A772E7E" w14:textId="77777777" w:rsidR="00E02032" w:rsidRDefault="00E02032" w:rsidP="00E02032">
      <w:pPr>
        <w:jc w:val="both"/>
        <w:rPr>
          <w:rFonts w:cstheme="minorHAnsi"/>
          <w:b/>
          <w:bCs/>
        </w:rPr>
      </w:pPr>
      <w:r>
        <w:rPr>
          <w:rFonts w:cstheme="minorHAnsi"/>
          <w:b/>
          <w:bCs/>
        </w:rPr>
        <w:t xml:space="preserve">En lien et appui direct à la stratégie nationale de renforcement des capacités des travailleurs en santé communautaires, le </w:t>
      </w:r>
      <w:r w:rsidRPr="00C82915">
        <w:rPr>
          <w:rFonts w:cstheme="minorHAnsi"/>
          <w:b/>
          <w:bCs/>
        </w:rPr>
        <w:t xml:space="preserve">projet Maïngo prévoit </w:t>
      </w:r>
      <w:r>
        <w:rPr>
          <w:rFonts w:cstheme="minorHAnsi"/>
          <w:b/>
          <w:bCs/>
        </w:rPr>
        <w:t xml:space="preserve">de promouvoir l’accès aux services de santé aux </w:t>
      </w:r>
      <w:r w:rsidRPr="00C82915">
        <w:rPr>
          <w:rFonts w:cstheme="minorHAnsi"/>
          <w:b/>
          <w:bCs/>
        </w:rPr>
        <w:t>femmes et aux filles</w:t>
      </w:r>
      <w:r>
        <w:rPr>
          <w:rFonts w:cstheme="minorHAnsi"/>
          <w:b/>
          <w:bCs/>
        </w:rPr>
        <w:t xml:space="preserve"> en connectant celles-ci aux centres de santé. </w:t>
      </w:r>
    </w:p>
    <w:p w14:paraId="393F645A" w14:textId="77777777" w:rsidR="00E02032" w:rsidRDefault="00E02032" w:rsidP="00E02032">
      <w:pPr>
        <w:jc w:val="both"/>
        <w:rPr>
          <w:rFonts w:cstheme="minorHAnsi"/>
        </w:rPr>
      </w:pPr>
      <w:r w:rsidRPr="00675AFD">
        <w:rPr>
          <w:rFonts w:cstheme="minorHAnsi"/>
        </w:rPr>
        <w:t xml:space="preserve">Les activités de la </w:t>
      </w:r>
      <w:r>
        <w:rPr>
          <w:rFonts w:cstheme="minorHAnsi"/>
        </w:rPr>
        <w:t>sous-</w:t>
      </w:r>
      <w:r w:rsidRPr="00675AFD">
        <w:rPr>
          <w:rFonts w:cstheme="minorHAnsi"/>
        </w:rPr>
        <w:t>composante 2</w:t>
      </w:r>
      <w:r>
        <w:rPr>
          <w:rFonts w:cstheme="minorHAnsi"/>
        </w:rPr>
        <w:t>.1</w:t>
      </w:r>
      <w:r w:rsidRPr="00675AFD">
        <w:rPr>
          <w:rFonts w:cstheme="minorHAnsi"/>
        </w:rPr>
        <w:t xml:space="preserve"> sont en lien direct avec celles de la composante 1 </w:t>
      </w:r>
      <w:r>
        <w:rPr>
          <w:rFonts w:cstheme="minorHAnsi"/>
        </w:rPr>
        <w:t xml:space="preserve">dont les activités et sensibilisations à destination des femmes et des filles </w:t>
      </w:r>
      <w:r w:rsidRPr="00675AFD">
        <w:rPr>
          <w:rFonts w:cstheme="minorHAnsi"/>
        </w:rPr>
        <w:t>vise</w:t>
      </w:r>
      <w:r>
        <w:rPr>
          <w:rFonts w:cstheme="minorHAnsi"/>
        </w:rPr>
        <w:t>nt</w:t>
      </w:r>
      <w:r w:rsidRPr="00675AFD">
        <w:rPr>
          <w:rFonts w:cstheme="minorHAnsi"/>
        </w:rPr>
        <w:t xml:space="preserve"> à générer une demande de services de santé</w:t>
      </w:r>
      <w:r>
        <w:rPr>
          <w:rFonts w:cstheme="minorHAnsi"/>
        </w:rPr>
        <w:t xml:space="preserve"> accrue. </w:t>
      </w:r>
    </w:p>
    <w:p w14:paraId="4FF99C99" w14:textId="77777777" w:rsidR="00E02032" w:rsidRDefault="00E02032" w:rsidP="00E02032">
      <w:pPr>
        <w:jc w:val="both"/>
        <w:rPr>
          <w:rFonts w:cstheme="minorHAnsi"/>
        </w:rPr>
      </w:pPr>
      <w:r w:rsidRPr="00AB1CF4">
        <w:rPr>
          <w:rFonts w:cstheme="minorHAnsi"/>
        </w:rPr>
        <w:t xml:space="preserve">L’évaluation a permis de faire ressortir des risques d’EAS et HS directement </w:t>
      </w:r>
      <w:r>
        <w:rPr>
          <w:rFonts w:cstheme="minorHAnsi"/>
        </w:rPr>
        <w:t>ou</w:t>
      </w:r>
      <w:r w:rsidRPr="00AB1CF4">
        <w:rPr>
          <w:rFonts w:cstheme="minorHAnsi"/>
        </w:rPr>
        <w:t xml:space="preserve"> indirectement liés aux </w:t>
      </w:r>
      <w:r>
        <w:rPr>
          <w:rFonts w:cstheme="minorHAnsi"/>
        </w:rPr>
        <w:t xml:space="preserve">activités des composantes santé du projet dans trois sous-champs particuliers : (i) les activités menées par les travailleurs en santé communautaire ; (ii) les activités visant à promouvoir l’accès aux services de santé primaire aux femmes et aux filles ; (iii) l’évaluation attire aussi l’attention sur les risques inhérents à la pandémie de Covid-19 en République centrafricaine sur l’exacerbation des VBG et EAS contre les femmes et filles centrafricaines et la pression sur les prestataires de services à destination des survivantes de VBG, en soulignant le rôle que pourrait jouer le projet dans l’atténuation de ces risques. </w:t>
      </w:r>
    </w:p>
    <w:p w14:paraId="35F9737F" w14:textId="77777777" w:rsidR="00E02032" w:rsidRPr="00771D04" w:rsidRDefault="00E02032" w:rsidP="00E02032">
      <w:pPr>
        <w:jc w:val="both"/>
        <w:rPr>
          <w:rFonts w:cstheme="minorHAnsi"/>
          <w:b/>
          <w:bCs/>
        </w:rPr>
      </w:pPr>
      <w:r w:rsidRPr="00771D04">
        <w:rPr>
          <w:rFonts w:cstheme="minorHAnsi"/>
          <w:b/>
          <w:bCs/>
        </w:rPr>
        <w:t xml:space="preserve">(i) Risques inhérents aux activités menées par les travailleurs en santé communautaire : </w:t>
      </w:r>
    </w:p>
    <w:p w14:paraId="3DD0A7C7" w14:textId="77777777" w:rsidR="00E02032" w:rsidRDefault="00E02032" w:rsidP="00E02032">
      <w:pPr>
        <w:jc w:val="both"/>
        <w:rPr>
          <w:rFonts w:cstheme="minorHAnsi"/>
        </w:rPr>
      </w:pPr>
      <w:r>
        <w:rPr>
          <w:rFonts w:cstheme="minorHAnsi"/>
        </w:rPr>
        <w:t xml:space="preserve">Les risques inhérents aux activités menées par les travailleurs en santé communautaire sont sensiblement identiques aux risques directs et indirects présentés précédemment dans le Tableau 2, et incluent : </w:t>
      </w:r>
    </w:p>
    <w:p w14:paraId="08C15291" w14:textId="77777777" w:rsidR="00E02032" w:rsidRDefault="00E02032" w:rsidP="00E02032">
      <w:pPr>
        <w:pStyle w:val="IntenseQuote"/>
      </w:pPr>
      <w:r>
        <w:t xml:space="preserve">              Tableau 3</w:t>
      </w:r>
      <w:r w:rsidRPr="00AB1CF4">
        <w:t xml:space="preserve"> Risques directs et indirects de VBG, EAS et H</w:t>
      </w:r>
      <w:r>
        <w:t xml:space="preserve">S – Composante 2.1 </w:t>
      </w:r>
    </w:p>
    <w:tbl>
      <w:tblPr>
        <w:tblStyle w:val="TableGrid"/>
        <w:tblW w:w="0" w:type="auto"/>
        <w:tblInd w:w="360" w:type="dxa"/>
        <w:tblLook w:val="04A0" w:firstRow="1" w:lastRow="0" w:firstColumn="1" w:lastColumn="0" w:noHBand="0" w:noVBand="1"/>
      </w:tblPr>
      <w:tblGrid>
        <w:gridCol w:w="8702"/>
      </w:tblGrid>
      <w:tr w:rsidR="00E02032" w:rsidRPr="00723CDC" w14:paraId="588CD53D" w14:textId="77777777" w:rsidTr="00233C12">
        <w:tc>
          <w:tcPr>
            <w:tcW w:w="8702" w:type="dxa"/>
          </w:tcPr>
          <w:p w14:paraId="7B892CE9" w14:textId="77777777" w:rsidR="00E02032" w:rsidRPr="00723CDC" w:rsidRDefault="00E02032" w:rsidP="00233C12">
            <w:pPr>
              <w:rPr>
                <w:rFonts w:cstheme="minorHAnsi"/>
                <w:b/>
                <w:bCs/>
              </w:rPr>
            </w:pPr>
            <w:r w:rsidRPr="00723CDC">
              <w:rPr>
                <w:rFonts w:cstheme="minorHAnsi"/>
                <w:b/>
                <w:bCs/>
              </w:rPr>
              <w:t xml:space="preserve">Risques directs de VBG, EAS et HS: </w:t>
            </w:r>
          </w:p>
        </w:tc>
      </w:tr>
      <w:tr w:rsidR="00E02032" w:rsidRPr="00723CDC" w14:paraId="0F14A631" w14:textId="77777777" w:rsidTr="00233C12">
        <w:tc>
          <w:tcPr>
            <w:tcW w:w="8702" w:type="dxa"/>
          </w:tcPr>
          <w:p w14:paraId="2DDD62E6" w14:textId="77777777" w:rsidR="00E02032" w:rsidRDefault="00E02032" w:rsidP="00E02032">
            <w:pPr>
              <w:numPr>
                <w:ilvl w:val="0"/>
                <w:numId w:val="6"/>
              </w:numPr>
              <w:spacing w:after="0" w:line="240" w:lineRule="auto"/>
              <w:jc w:val="both"/>
              <w:rPr>
                <w:rFonts w:cstheme="minorHAnsi"/>
              </w:rPr>
            </w:pPr>
            <w:r w:rsidRPr="00723CDC">
              <w:rPr>
                <w:rFonts w:cstheme="minorHAnsi"/>
              </w:rPr>
              <w:t xml:space="preserve">Risques d’EAS et d’abus de pouvoir </w:t>
            </w:r>
            <w:r>
              <w:rPr>
                <w:rFonts w:cstheme="minorHAnsi"/>
              </w:rPr>
              <w:t>exercés contre les femmes et les filles par les travailleurs en santé communautaire</w:t>
            </w:r>
          </w:p>
          <w:p w14:paraId="2127CDF3" w14:textId="77777777" w:rsidR="00E02032" w:rsidRPr="00723CDC" w:rsidRDefault="00E02032" w:rsidP="00E02032">
            <w:pPr>
              <w:numPr>
                <w:ilvl w:val="0"/>
                <w:numId w:val="6"/>
              </w:numPr>
              <w:spacing w:after="0" w:line="240" w:lineRule="auto"/>
              <w:jc w:val="both"/>
              <w:rPr>
                <w:rFonts w:cstheme="minorHAnsi"/>
              </w:rPr>
            </w:pPr>
            <w:r w:rsidRPr="00060154">
              <w:rPr>
                <w:rFonts w:cstheme="minorHAnsi"/>
              </w:rPr>
              <w:t>Risques</w:t>
            </w:r>
            <w:r>
              <w:rPr>
                <w:rFonts w:cstheme="minorHAnsi"/>
              </w:rPr>
              <w:t xml:space="preserve"> d’EAS et HS</w:t>
            </w:r>
            <w:r w:rsidRPr="00060154">
              <w:rPr>
                <w:rFonts w:cstheme="minorHAnsi"/>
              </w:rPr>
              <w:t xml:space="preserve"> liés à l’absence de code de conduite qui prohibe et sanctionne les EAS et HS</w:t>
            </w:r>
          </w:p>
        </w:tc>
      </w:tr>
      <w:tr w:rsidR="00E02032" w:rsidRPr="00723CDC" w14:paraId="5BF39CE2" w14:textId="77777777" w:rsidTr="00233C12">
        <w:tc>
          <w:tcPr>
            <w:tcW w:w="8702" w:type="dxa"/>
          </w:tcPr>
          <w:p w14:paraId="26386125" w14:textId="77777777" w:rsidR="00E02032" w:rsidRPr="00723CDC" w:rsidRDefault="00E02032" w:rsidP="00233C12">
            <w:pPr>
              <w:rPr>
                <w:rFonts w:cstheme="minorHAnsi"/>
                <w:b/>
                <w:bCs/>
              </w:rPr>
            </w:pPr>
            <w:r w:rsidRPr="00723CDC">
              <w:rPr>
                <w:rFonts w:cstheme="minorHAnsi"/>
                <w:b/>
                <w:bCs/>
              </w:rPr>
              <w:t xml:space="preserve">Risques indirects de VBG, EAS et HS : </w:t>
            </w:r>
          </w:p>
        </w:tc>
      </w:tr>
      <w:tr w:rsidR="00E02032" w:rsidRPr="00723CDC" w14:paraId="5ED85747" w14:textId="77777777" w:rsidTr="00233C12">
        <w:tc>
          <w:tcPr>
            <w:tcW w:w="8702" w:type="dxa"/>
          </w:tcPr>
          <w:p w14:paraId="2BD67F24" w14:textId="63E2DBBF" w:rsidR="00E02032" w:rsidRPr="00060154" w:rsidRDefault="00E02032" w:rsidP="00E02032">
            <w:pPr>
              <w:numPr>
                <w:ilvl w:val="0"/>
                <w:numId w:val="6"/>
              </w:numPr>
              <w:tabs>
                <w:tab w:val="clear" w:pos="360"/>
              </w:tabs>
              <w:spacing w:after="0" w:line="240" w:lineRule="auto"/>
              <w:ind w:left="376" w:hanging="376"/>
              <w:jc w:val="both"/>
              <w:rPr>
                <w:rFonts w:cstheme="minorHAnsi"/>
              </w:rPr>
            </w:pPr>
            <w:r>
              <w:rPr>
                <w:rFonts w:cstheme="minorHAnsi"/>
              </w:rPr>
              <w:t>Risques d’assister à des pratiques néfastes et dangereuses pour les survivantes, liés à l’absence de connaissances et compétences</w:t>
            </w:r>
            <w:r w:rsidR="009F39ED">
              <w:rPr>
                <w:rFonts w:cstheme="minorHAnsi"/>
              </w:rPr>
              <w:t xml:space="preserve"> des travailleurs en santé communautaire sur les VBG et EAS et de protocoles de référencements des survivantes</w:t>
            </w:r>
            <w:r>
              <w:rPr>
                <w:rFonts w:cstheme="minorHAnsi"/>
              </w:rPr>
              <w:t xml:space="preserve">: </w:t>
            </w:r>
          </w:p>
        </w:tc>
      </w:tr>
      <w:tr w:rsidR="00E02032" w:rsidRPr="00723CDC" w14:paraId="084A30EA" w14:textId="77777777" w:rsidTr="00233C12">
        <w:tc>
          <w:tcPr>
            <w:tcW w:w="8702" w:type="dxa"/>
          </w:tcPr>
          <w:p w14:paraId="2C991869" w14:textId="77777777" w:rsidR="00E02032" w:rsidRPr="00723CDC" w:rsidRDefault="00E02032" w:rsidP="00E02032">
            <w:pPr>
              <w:numPr>
                <w:ilvl w:val="1"/>
                <w:numId w:val="6"/>
              </w:numPr>
              <w:spacing w:after="0" w:line="240" w:lineRule="auto"/>
              <w:ind w:left="851" w:hanging="426"/>
              <w:jc w:val="both"/>
              <w:rPr>
                <w:rFonts w:cstheme="minorHAnsi"/>
              </w:rPr>
            </w:pPr>
            <w:r w:rsidRPr="00723CDC">
              <w:rPr>
                <w:rFonts w:cstheme="minorHAnsi"/>
              </w:rPr>
              <w:t xml:space="preserve">Dans la mise en œuvre d’une approche centrée sur les besoins des survivantes </w:t>
            </w:r>
          </w:p>
        </w:tc>
      </w:tr>
      <w:tr w:rsidR="00E02032" w:rsidRPr="00723CDC" w14:paraId="2C0A5628" w14:textId="77777777" w:rsidTr="00233C12">
        <w:tc>
          <w:tcPr>
            <w:tcW w:w="8702" w:type="dxa"/>
          </w:tcPr>
          <w:p w14:paraId="21434066" w14:textId="77777777" w:rsidR="00E02032" w:rsidRPr="00723CDC" w:rsidRDefault="00E02032" w:rsidP="00E02032">
            <w:pPr>
              <w:numPr>
                <w:ilvl w:val="1"/>
                <w:numId w:val="6"/>
              </w:numPr>
              <w:spacing w:after="0" w:line="240" w:lineRule="auto"/>
              <w:ind w:left="851" w:hanging="426"/>
              <w:jc w:val="both"/>
              <w:rPr>
                <w:rFonts w:cstheme="minorHAnsi"/>
              </w:rPr>
            </w:pPr>
            <w:r w:rsidRPr="00723CDC">
              <w:rPr>
                <w:rFonts w:cstheme="minorHAnsi"/>
              </w:rPr>
              <w:t>Dans la collecte et la protection des données sensibles sur les cas de VBG </w:t>
            </w:r>
          </w:p>
        </w:tc>
      </w:tr>
      <w:tr w:rsidR="00E02032" w:rsidRPr="00723CDC" w14:paraId="1C17F244" w14:textId="77777777" w:rsidTr="00233C12">
        <w:tc>
          <w:tcPr>
            <w:tcW w:w="8702" w:type="dxa"/>
          </w:tcPr>
          <w:p w14:paraId="239812DA" w14:textId="77777777" w:rsidR="00E02032" w:rsidRPr="00723CDC" w:rsidRDefault="00E02032" w:rsidP="00E02032">
            <w:pPr>
              <w:numPr>
                <w:ilvl w:val="1"/>
                <w:numId w:val="6"/>
              </w:numPr>
              <w:spacing w:after="0" w:line="240" w:lineRule="auto"/>
              <w:ind w:left="851" w:hanging="426"/>
              <w:jc w:val="both"/>
              <w:rPr>
                <w:rFonts w:cstheme="minorHAnsi"/>
              </w:rPr>
            </w:pPr>
            <w:r w:rsidRPr="00723CDC">
              <w:rPr>
                <w:rFonts w:cstheme="minorHAnsi"/>
              </w:rPr>
              <w:lastRenderedPageBreak/>
              <w:t>Dans l’identification, la détection et la prise en charge des survivantes de VBG y compris les référencements vers les services appropriés (notamment les services médicaux d’urgence pour les cas de viols et autres violations graves qui nécessitent une prise en charge rapide et spécifique)</w:t>
            </w:r>
          </w:p>
        </w:tc>
      </w:tr>
      <w:tr w:rsidR="00E02032" w:rsidRPr="00723CDC" w14:paraId="22EA29ED" w14:textId="77777777" w:rsidTr="00233C12">
        <w:tc>
          <w:tcPr>
            <w:tcW w:w="8702" w:type="dxa"/>
          </w:tcPr>
          <w:p w14:paraId="5DB5CF9A" w14:textId="77777777" w:rsidR="00E02032" w:rsidRPr="00723CDC" w:rsidRDefault="00E02032" w:rsidP="00E02032">
            <w:pPr>
              <w:numPr>
                <w:ilvl w:val="1"/>
                <w:numId w:val="6"/>
              </w:numPr>
              <w:spacing w:after="0" w:line="240" w:lineRule="auto"/>
              <w:ind w:left="851" w:hanging="426"/>
              <w:jc w:val="both"/>
              <w:rPr>
                <w:rFonts w:cstheme="minorHAnsi"/>
              </w:rPr>
            </w:pPr>
            <w:r w:rsidRPr="00723CDC">
              <w:rPr>
                <w:rFonts w:cstheme="minorHAnsi"/>
              </w:rPr>
              <w:t xml:space="preserve">Dans l’identification, la détection et la prise en charge des filles </w:t>
            </w:r>
            <w:r>
              <w:rPr>
                <w:rFonts w:cstheme="minorHAnsi"/>
              </w:rPr>
              <w:t xml:space="preserve">et les adolescentes </w:t>
            </w:r>
            <w:r w:rsidRPr="00723CDC">
              <w:rPr>
                <w:rFonts w:cstheme="minorHAnsi"/>
              </w:rPr>
              <w:t xml:space="preserve">survivantes de VBG nécessitant une approche centrée sur les besoins des survivantes dans le respect des principes /pratiques propres aux enfants survivantes de VBG. </w:t>
            </w:r>
          </w:p>
        </w:tc>
      </w:tr>
      <w:tr w:rsidR="00E02032" w:rsidRPr="00723CDC" w14:paraId="0A62265B" w14:textId="77777777" w:rsidTr="00233C12">
        <w:tc>
          <w:tcPr>
            <w:tcW w:w="8702" w:type="dxa"/>
          </w:tcPr>
          <w:p w14:paraId="0C5740EB" w14:textId="77777777" w:rsidR="00E02032" w:rsidRPr="00723CDC" w:rsidRDefault="00E02032" w:rsidP="00E02032">
            <w:pPr>
              <w:numPr>
                <w:ilvl w:val="1"/>
                <w:numId w:val="6"/>
              </w:numPr>
              <w:spacing w:after="0" w:line="240" w:lineRule="auto"/>
              <w:ind w:left="851" w:hanging="426"/>
              <w:jc w:val="both"/>
              <w:rPr>
                <w:rFonts w:cstheme="minorHAnsi"/>
              </w:rPr>
            </w:pPr>
            <w:r w:rsidRPr="00723CDC">
              <w:rPr>
                <w:rFonts w:cstheme="minorHAnsi"/>
              </w:rPr>
              <w:t xml:space="preserve">Dans l’orientation donnée aux survivantes dans un contexte centrafricain où les normes de genre et les inégalités de genre qui en découlent alimentent les VBG (ex. : justification de la violence domestique, des mariages forcés, des MFG, etc.). </w:t>
            </w:r>
          </w:p>
        </w:tc>
      </w:tr>
      <w:tr w:rsidR="00E02032" w:rsidRPr="00723CDC" w14:paraId="52F094D0" w14:textId="77777777" w:rsidTr="00233C12">
        <w:tc>
          <w:tcPr>
            <w:tcW w:w="8702" w:type="dxa"/>
          </w:tcPr>
          <w:p w14:paraId="72662043" w14:textId="77777777" w:rsidR="00E02032" w:rsidRPr="00723CDC" w:rsidRDefault="00E02032" w:rsidP="00E02032">
            <w:pPr>
              <w:numPr>
                <w:ilvl w:val="1"/>
                <w:numId w:val="6"/>
              </w:numPr>
              <w:spacing w:after="0" w:line="240" w:lineRule="auto"/>
              <w:ind w:left="851" w:hanging="425"/>
              <w:jc w:val="both"/>
              <w:rPr>
                <w:rFonts w:cstheme="minorHAnsi"/>
              </w:rPr>
            </w:pPr>
            <w:r w:rsidRPr="00723CDC">
              <w:rPr>
                <w:rFonts w:cstheme="minorHAnsi"/>
              </w:rPr>
              <w:t xml:space="preserve">Dans le recours à des mécanismes traditionnels de résolution de conflits qui ne sont pas centrés sur les besoins des survivantes. </w:t>
            </w:r>
          </w:p>
        </w:tc>
      </w:tr>
    </w:tbl>
    <w:p w14:paraId="7289CDBF" w14:textId="77777777" w:rsidR="00E02032" w:rsidRDefault="00E02032" w:rsidP="00E02032">
      <w:pPr>
        <w:spacing w:after="0" w:line="240" w:lineRule="auto"/>
        <w:rPr>
          <w:rFonts w:cstheme="minorHAnsi"/>
          <w:b/>
          <w:bCs/>
        </w:rPr>
        <w:sectPr w:rsidR="00E02032" w:rsidSect="00216C3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pPr>
    </w:p>
    <w:p w14:paraId="2BA6FE97" w14:textId="77777777" w:rsidR="00E02032" w:rsidRDefault="00E02032" w:rsidP="00E02032">
      <w:pPr>
        <w:spacing w:after="0" w:line="240" w:lineRule="auto"/>
        <w:jc w:val="both"/>
        <w:rPr>
          <w:rFonts w:cstheme="minorHAnsi"/>
        </w:rPr>
        <w:sectPr w:rsidR="00E02032" w:rsidSect="00216C35">
          <w:type w:val="continuous"/>
          <w:pgSz w:w="11906" w:h="16838"/>
          <w:pgMar w:top="1417" w:right="1417" w:bottom="1417" w:left="1417" w:header="708" w:footer="708" w:gutter="0"/>
          <w:cols w:space="708"/>
          <w:titlePg/>
          <w:docGrid w:linePitch="360"/>
        </w:sectPr>
      </w:pPr>
    </w:p>
    <w:p w14:paraId="4081B767" w14:textId="77777777" w:rsidR="00E02032" w:rsidRDefault="00E02032" w:rsidP="00E02032">
      <w:pPr>
        <w:spacing w:after="0" w:line="240" w:lineRule="auto"/>
        <w:jc w:val="both"/>
        <w:rPr>
          <w:rFonts w:cstheme="minorHAnsi"/>
        </w:rPr>
        <w:sectPr w:rsidR="00E02032" w:rsidSect="008A228D">
          <w:type w:val="continuous"/>
          <w:pgSz w:w="11906" w:h="16838"/>
          <w:pgMar w:top="1417" w:right="1417" w:bottom="1417" w:left="1417" w:header="708" w:footer="708" w:gutter="0"/>
          <w:cols w:space="708"/>
          <w:titlePg/>
          <w:docGrid w:linePitch="360"/>
        </w:sectPr>
      </w:pPr>
    </w:p>
    <w:p w14:paraId="1BAAF831" w14:textId="77777777" w:rsidR="00E02032" w:rsidRDefault="00E02032" w:rsidP="00E02032">
      <w:pPr>
        <w:jc w:val="both"/>
        <w:rPr>
          <w:rFonts w:cstheme="minorHAnsi"/>
          <w:b/>
          <w:bCs/>
        </w:rPr>
      </w:pPr>
      <w:r w:rsidRPr="00771D04">
        <w:rPr>
          <w:rFonts w:cstheme="minorHAnsi"/>
          <w:b/>
          <w:bCs/>
        </w:rPr>
        <w:t xml:space="preserve">(ii) Risques inhérents aux services de santé primaire : </w:t>
      </w:r>
    </w:p>
    <w:p w14:paraId="090035F0" w14:textId="77777777" w:rsidR="00E02032" w:rsidRPr="00060154" w:rsidRDefault="00E02032" w:rsidP="00E02032">
      <w:pPr>
        <w:jc w:val="both"/>
        <w:rPr>
          <w:rFonts w:cstheme="minorHAnsi"/>
          <w:b/>
          <w:bCs/>
        </w:rPr>
      </w:pPr>
      <w:r>
        <w:rPr>
          <w:rFonts w:cstheme="minorHAnsi"/>
        </w:rPr>
        <w:t>Les risques présents au sein des services de santé primaires sont sensiblement identiques aux risques directs et indirects analysés dans le cadre de l’évaluation des risques du projet SENI</w:t>
      </w:r>
      <w:r>
        <w:rPr>
          <w:rStyle w:val="FootnoteReference"/>
          <w:rFonts w:cstheme="minorHAnsi"/>
        </w:rPr>
        <w:footnoteReference w:id="32"/>
      </w:r>
      <w:r>
        <w:rPr>
          <w:rFonts w:cstheme="minorHAnsi"/>
        </w:rPr>
        <w:t xml:space="preserve"> : </w:t>
      </w:r>
    </w:p>
    <w:p w14:paraId="6821EC43" w14:textId="77777777" w:rsidR="00E02032" w:rsidRPr="00AB1CF4" w:rsidRDefault="00E02032" w:rsidP="00E02032">
      <w:pPr>
        <w:pStyle w:val="IntenseQuote"/>
        <w:rPr>
          <w:rFonts w:cstheme="minorHAnsi"/>
        </w:rPr>
        <w:sectPr w:rsidR="00E02032" w:rsidRPr="00AB1CF4" w:rsidSect="008A228D">
          <w:type w:val="continuous"/>
          <w:pgSz w:w="11906" w:h="16838"/>
          <w:pgMar w:top="1417" w:right="1417" w:bottom="1417" w:left="1417" w:header="708" w:footer="708" w:gutter="0"/>
          <w:cols w:space="708"/>
          <w:titlePg/>
          <w:docGrid w:linePitch="360"/>
        </w:sectPr>
      </w:pPr>
      <w:r w:rsidRPr="00216C35">
        <w:t xml:space="preserve">Tableau </w:t>
      </w:r>
      <w:r>
        <w:t>4</w:t>
      </w:r>
      <w:r w:rsidRPr="00216C35">
        <w:t xml:space="preserve"> Risques directs et indirects de VBG, EAS et HS – Composante </w:t>
      </w:r>
      <w:r>
        <w:rPr>
          <w:rFonts w:cstheme="minorHAnsi"/>
        </w:rPr>
        <w:t>2.1  (suite)</w:t>
      </w:r>
    </w:p>
    <w:tbl>
      <w:tblPr>
        <w:tblStyle w:val="TableGrid"/>
        <w:tblW w:w="0" w:type="auto"/>
        <w:tblInd w:w="360" w:type="dxa"/>
        <w:tblLook w:val="04A0" w:firstRow="1" w:lastRow="0" w:firstColumn="1" w:lastColumn="0" w:noHBand="0" w:noVBand="1"/>
      </w:tblPr>
      <w:tblGrid>
        <w:gridCol w:w="8702"/>
      </w:tblGrid>
      <w:tr w:rsidR="00E02032" w:rsidRPr="00060154" w14:paraId="3B7C667A" w14:textId="77777777" w:rsidTr="00233C12">
        <w:tc>
          <w:tcPr>
            <w:tcW w:w="8702" w:type="dxa"/>
          </w:tcPr>
          <w:p w14:paraId="7871A964" w14:textId="77777777" w:rsidR="00E02032" w:rsidRPr="00060154" w:rsidRDefault="00E02032" w:rsidP="00233C12">
            <w:pPr>
              <w:rPr>
                <w:rFonts w:cstheme="minorHAnsi"/>
                <w:b/>
                <w:bCs/>
              </w:rPr>
            </w:pPr>
            <w:r w:rsidRPr="00060154">
              <w:rPr>
                <w:rFonts w:cstheme="minorHAnsi"/>
                <w:b/>
                <w:bCs/>
              </w:rPr>
              <w:t xml:space="preserve">Risques directs de VBG, EAS et HS: </w:t>
            </w:r>
          </w:p>
        </w:tc>
      </w:tr>
      <w:tr w:rsidR="00E02032" w:rsidRPr="00060154" w14:paraId="3920B54F" w14:textId="77777777" w:rsidTr="00233C12">
        <w:tc>
          <w:tcPr>
            <w:tcW w:w="8702" w:type="dxa"/>
          </w:tcPr>
          <w:p w14:paraId="2E74279E" w14:textId="77777777" w:rsidR="00E02032" w:rsidRPr="00060154" w:rsidRDefault="00E02032" w:rsidP="00E02032">
            <w:pPr>
              <w:numPr>
                <w:ilvl w:val="0"/>
                <w:numId w:val="26"/>
              </w:numPr>
              <w:tabs>
                <w:tab w:val="clear" w:pos="720"/>
                <w:tab w:val="num" w:pos="234"/>
              </w:tabs>
              <w:spacing w:after="0" w:line="240" w:lineRule="auto"/>
              <w:ind w:left="234" w:hanging="234"/>
              <w:jc w:val="both"/>
              <w:rPr>
                <w:rFonts w:ascii="Times New Roman" w:eastAsia="Times New Roman" w:hAnsi="Times New Roman" w:cs="Times New Roman"/>
                <w:color w:val="000000"/>
              </w:rPr>
            </w:pPr>
            <w:r w:rsidRPr="00060154">
              <w:rPr>
                <w:rFonts w:cstheme="minorHAnsi"/>
              </w:rPr>
              <w:t xml:space="preserve">Risques de VBG, EAS par le personnel des centres de santé primaire : </w:t>
            </w:r>
            <w:r w:rsidRPr="00060154">
              <w:rPr>
                <w:rFonts w:ascii="Calibri" w:eastAsia="Times New Roman" w:hAnsi="Calibri" w:cs="Calibri"/>
                <w:color w:val="000000"/>
              </w:rPr>
              <w:t xml:space="preserve">La maltraitance des femmes et des filles dans les établissements de santé peut prendre une forme de viol ou d'agression sexuelle lors de la consultation, la demande de faveurs sexuelles en échange de services gratuits, moins chers ou de tout service, de médicaments ou même d'informations. Cela peut également prendre la forme de violence verbale, </w:t>
            </w:r>
            <w:r>
              <w:rPr>
                <w:rFonts w:ascii="Calibri" w:eastAsia="Times New Roman" w:hAnsi="Calibri" w:cs="Calibri"/>
                <w:color w:val="000000"/>
              </w:rPr>
              <w:t>d’humiliation</w:t>
            </w:r>
            <w:r w:rsidRPr="00060154">
              <w:rPr>
                <w:rFonts w:ascii="Calibri" w:eastAsia="Times New Roman" w:hAnsi="Calibri" w:cs="Calibri"/>
                <w:color w:val="000000"/>
              </w:rPr>
              <w:t xml:space="preserve"> ou de stigmatisation. Cela peut </w:t>
            </w:r>
            <w:r>
              <w:rPr>
                <w:rFonts w:ascii="Calibri" w:eastAsia="Times New Roman" w:hAnsi="Calibri" w:cs="Calibri"/>
                <w:color w:val="000000"/>
              </w:rPr>
              <w:t xml:space="preserve">concerner toutes les femmes qui accèdent aux </w:t>
            </w:r>
            <w:r w:rsidRPr="00060154">
              <w:rPr>
                <w:rFonts w:ascii="Calibri" w:eastAsia="Times New Roman" w:hAnsi="Calibri" w:cs="Calibri"/>
                <w:color w:val="000000"/>
              </w:rPr>
              <w:t xml:space="preserve">services de santé, mais les survivantes </w:t>
            </w:r>
            <w:r>
              <w:rPr>
                <w:rFonts w:ascii="Calibri" w:eastAsia="Times New Roman" w:hAnsi="Calibri" w:cs="Calibri"/>
                <w:color w:val="000000"/>
              </w:rPr>
              <w:t>de VBG</w:t>
            </w:r>
            <w:r w:rsidRPr="00060154">
              <w:rPr>
                <w:rFonts w:ascii="Calibri" w:eastAsia="Times New Roman" w:hAnsi="Calibri" w:cs="Calibri"/>
                <w:color w:val="000000"/>
              </w:rPr>
              <w:t>, les femmes issues de minorités</w:t>
            </w:r>
            <w:r>
              <w:rPr>
                <w:rFonts w:ascii="Calibri" w:eastAsia="Times New Roman" w:hAnsi="Calibri" w:cs="Calibri"/>
                <w:color w:val="000000"/>
              </w:rPr>
              <w:t xml:space="preserve">, </w:t>
            </w:r>
            <w:r w:rsidRPr="00060154">
              <w:rPr>
                <w:rFonts w:ascii="Calibri" w:eastAsia="Times New Roman" w:hAnsi="Calibri" w:cs="Calibri"/>
                <w:color w:val="000000"/>
              </w:rPr>
              <w:t>les personnes déplacées, les femmes handicapées, les femmes très pauvres pourraient être encore plus vulnérables.</w:t>
            </w:r>
          </w:p>
        </w:tc>
      </w:tr>
      <w:tr w:rsidR="00E02032" w:rsidRPr="00060154" w14:paraId="29E17D4A" w14:textId="77777777" w:rsidTr="00233C12">
        <w:tc>
          <w:tcPr>
            <w:tcW w:w="8702" w:type="dxa"/>
          </w:tcPr>
          <w:p w14:paraId="36D87A88" w14:textId="77777777" w:rsidR="00E02032" w:rsidRPr="00060154" w:rsidRDefault="00E02032" w:rsidP="00E02032">
            <w:pPr>
              <w:numPr>
                <w:ilvl w:val="0"/>
                <w:numId w:val="26"/>
              </w:numPr>
              <w:tabs>
                <w:tab w:val="clear" w:pos="720"/>
                <w:tab w:val="num" w:pos="234"/>
              </w:tabs>
              <w:spacing w:after="0" w:line="240" w:lineRule="auto"/>
              <w:ind w:left="234" w:hanging="234"/>
              <w:jc w:val="both"/>
              <w:rPr>
                <w:rFonts w:ascii="Times New Roman" w:eastAsia="Times New Roman" w:hAnsi="Times New Roman" w:cs="Times New Roman"/>
                <w:color w:val="000000"/>
              </w:rPr>
            </w:pPr>
            <w:r w:rsidRPr="00060154">
              <w:rPr>
                <w:rFonts w:cstheme="minorHAnsi"/>
              </w:rPr>
              <w:t>Risques</w:t>
            </w:r>
            <w:r>
              <w:rPr>
                <w:rFonts w:cstheme="minorHAnsi"/>
              </w:rPr>
              <w:t xml:space="preserve"> de VBG, EAS et HS</w:t>
            </w:r>
            <w:r w:rsidRPr="00060154">
              <w:rPr>
                <w:rFonts w:cstheme="minorHAnsi"/>
              </w:rPr>
              <w:t xml:space="preserve"> liés à l’absence de code de conduite pour les personnels des centres de santé qui </w:t>
            </w:r>
            <w:r>
              <w:rPr>
                <w:rFonts w:cstheme="minorHAnsi"/>
              </w:rPr>
              <w:t xml:space="preserve">qui garantissent un environnement de travail sûr et respectueux pour le personnel féminin et </w:t>
            </w:r>
            <w:r w:rsidRPr="00060154">
              <w:rPr>
                <w:rFonts w:cstheme="minorHAnsi"/>
              </w:rPr>
              <w:t>prohibe et sanctionne les EAS et HS.</w:t>
            </w:r>
          </w:p>
        </w:tc>
      </w:tr>
      <w:tr w:rsidR="00E02032" w:rsidRPr="00060154" w14:paraId="199EDBA1" w14:textId="77777777" w:rsidTr="00233C12">
        <w:tc>
          <w:tcPr>
            <w:tcW w:w="8702" w:type="dxa"/>
          </w:tcPr>
          <w:p w14:paraId="4A90371B" w14:textId="77777777" w:rsidR="00E02032" w:rsidRPr="00060154" w:rsidRDefault="00E02032" w:rsidP="00233C12">
            <w:pPr>
              <w:rPr>
                <w:rFonts w:cstheme="minorHAnsi"/>
                <w:b/>
                <w:bCs/>
              </w:rPr>
            </w:pPr>
            <w:r w:rsidRPr="00060154">
              <w:rPr>
                <w:rFonts w:cstheme="minorHAnsi"/>
                <w:b/>
                <w:bCs/>
              </w:rPr>
              <w:t xml:space="preserve">Risques indirects de VBG, EAS et HS : </w:t>
            </w:r>
          </w:p>
        </w:tc>
      </w:tr>
      <w:tr w:rsidR="00E02032" w:rsidRPr="00060154" w14:paraId="3CD9C689" w14:textId="77777777" w:rsidTr="00233C12">
        <w:tc>
          <w:tcPr>
            <w:tcW w:w="8702" w:type="dxa"/>
          </w:tcPr>
          <w:p w14:paraId="7E5C7AA3" w14:textId="6169D8FB" w:rsidR="00E02032" w:rsidRPr="00060154" w:rsidRDefault="00E02032" w:rsidP="00E02032">
            <w:pPr>
              <w:numPr>
                <w:ilvl w:val="0"/>
                <w:numId w:val="26"/>
              </w:numPr>
              <w:tabs>
                <w:tab w:val="clear" w:pos="720"/>
                <w:tab w:val="num" w:pos="234"/>
              </w:tabs>
              <w:spacing w:after="0" w:line="240" w:lineRule="auto"/>
              <w:ind w:left="234" w:hanging="234"/>
              <w:jc w:val="both"/>
              <w:rPr>
                <w:rFonts w:cstheme="minorHAnsi"/>
              </w:rPr>
            </w:pPr>
            <w:r w:rsidRPr="00060154">
              <w:rPr>
                <w:rFonts w:cstheme="minorHAnsi"/>
              </w:rPr>
              <w:t xml:space="preserve">Risques d’assister à des pratiques néfastes et dangereuses pour les survivantes, liés à l’absence de connaissances et compétences sur les VBG et EAS des personnels et équipes centres de santé </w:t>
            </w:r>
            <w:r w:rsidR="009F39ED">
              <w:rPr>
                <w:rFonts w:cstheme="minorHAnsi"/>
              </w:rPr>
              <w:t>et de protocoles systématiques de référencements des survivantes</w:t>
            </w:r>
            <w:r w:rsidR="009F39ED" w:rsidRPr="00060154">
              <w:rPr>
                <w:rFonts w:cstheme="minorHAnsi"/>
              </w:rPr>
              <w:t xml:space="preserve"> </w:t>
            </w:r>
            <w:r w:rsidRPr="00060154">
              <w:rPr>
                <w:rFonts w:cstheme="minorHAnsi"/>
              </w:rPr>
              <w:t>y compris :</w:t>
            </w:r>
          </w:p>
        </w:tc>
      </w:tr>
      <w:tr w:rsidR="00E02032" w:rsidRPr="00060154" w14:paraId="3319E23E" w14:textId="77777777" w:rsidTr="00233C12">
        <w:tc>
          <w:tcPr>
            <w:tcW w:w="8702" w:type="dxa"/>
          </w:tcPr>
          <w:p w14:paraId="09A25169" w14:textId="77777777" w:rsidR="00E02032" w:rsidRPr="00060154" w:rsidRDefault="00E02032" w:rsidP="00E02032">
            <w:pPr>
              <w:numPr>
                <w:ilvl w:val="1"/>
                <w:numId w:val="6"/>
              </w:numPr>
              <w:spacing w:after="0" w:line="240" w:lineRule="auto"/>
              <w:ind w:left="851" w:hanging="426"/>
              <w:rPr>
                <w:rFonts w:cstheme="minorHAnsi"/>
              </w:rPr>
            </w:pPr>
            <w:r w:rsidRPr="00060154">
              <w:rPr>
                <w:rFonts w:cstheme="minorHAnsi"/>
              </w:rPr>
              <w:t xml:space="preserve">Dans la mise en œuvre d’une approche centrée sur les besoins des survivantes </w:t>
            </w:r>
          </w:p>
        </w:tc>
      </w:tr>
      <w:tr w:rsidR="00E02032" w:rsidRPr="00060154" w14:paraId="11462E84" w14:textId="77777777" w:rsidTr="00233C12">
        <w:tc>
          <w:tcPr>
            <w:tcW w:w="8702" w:type="dxa"/>
          </w:tcPr>
          <w:p w14:paraId="030927BD" w14:textId="77777777" w:rsidR="00E02032" w:rsidRPr="00060154" w:rsidRDefault="00E02032" w:rsidP="00E02032">
            <w:pPr>
              <w:numPr>
                <w:ilvl w:val="1"/>
                <w:numId w:val="6"/>
              </w:numPr>
              <w:spacing w:after="0" w:line="240" w:lineRule="auto"/>
              <w:ind w:left="851" w:hanging="426"/>
              <w:rPr>
                <w:rFonts w:cstheme="minorHAnsi"/>
              </w:rPr>
            </w:pPr>
            <w:r w:rsidRPr="00060154">
              <w:rPr>
                <w:rFonts w:cstheme="minorHAnsi"/>
              </w:rPr>
              <w:t>Dans la collecte et la protection des données sensibles sur les cas de VBG </w:t>
            </w:r>
          </w:p>
        </w:tc>
      </w:tr>
      <w:tr w:rsidR="00E02032" w:rsidRPr="00060154" w14:paraId="7CB4952E" w14:textId="77777777" w:rsidTr="00233C12">
        <w:tc>
          <w:tcPr>
            <w:tcW w:w="8702" w:type="dxa"/>
          </w:tcPr>
          <w:p w14:paraId="4C7341EA" w14:textId="77777777" w:rsidR="00E02032" w:rsidRPr="00060154" w:rsidRDefault="00E02032" w:rsidP="00E02032">
            <w:pPr>
              <w:numPr>
                <w:ilvl w:val="1"/>
                <w:numId w:val="6"/>
              </w:numPr>
              <w:spacing w:after="0" w:line="240" w:lineRule="auto"/>
              <w:ind w:left="851" w:hanging="426"/>
              <w:jc w:val="both"/>
              <w:rPr>
                <w:rFonts w:cstheme="minorHAnsi"/>
              </w:rPr>
            </w:pPr>
            <w:r w:rsidRPr="00F60D73">
              <w:rPr>
                <w:rFonts w:cstheme="minorHAnsi"/>
                <w:u w:val="single"/>
              </w:rPr>
              <w:t>Dans le diagnostic des VBG</w:t>
            </w:r>
            <w:r w:rsidRPr="00060154">
              <w:rPr>
                <w:rFonts w:cstheme="minorHAnsi"/>
              </w:rPr>
              <w:t xml:space="preserve"> : </w:t>
            </w:r>
            <w:r w:rsidRPr="00060154">
              <w:rPr>
                <w:rFonts w:ascii="Calibri" w:eastAsia="Times New Roman" w:hAnsi="Calibri" w:cs="Calibri"/>
                <w:color w:val="000000"/>
              </w:rPr>
              <w:t xml:space="preserve">Il est assez courant que les femmes viennent pour un traitement médical, décrivent les symptômes mais ne nomment pas la cause par peur </w:t>
            </w:r>
            <w:r w:rsidRPr="00060154">
              <w:rPr>
                <w:rFonts w:ascii="Calibri" w:eastAsia="Times New Roman" w:hAnsi="Calibri" w:cs="Calibri"/>
                <w:color w:val="000000"/>
              </w:rPr>
              <w:lastRenderedPageBreak/>
              <w:t xml:space="preserve">de la stigmatisation ou pour d'autres raisons. Les professionnels de la santé peuvent ne pas avoir suffisamment de connaissances sur la VBG pour se rendre compte que le patient qu'ils traitent a été victime de violence et ne leur offrirait pas le traitement nécessaire ni </w:t>
            </w:r>
            <w:r>
              <w:rPr>
                <w:rFonts w:ascii="Calibri" w:eastAsia="Times New Roman" w:hAnsi="Calibri" w:cs="Calibri"/>
                <w:color w:val="000000"/>
              </w:rPr>
              <w:t>le référencement</w:t>
            </w:r>
            <w:r w:rsidRPr="00060154">
              <w:rPr>
                <w:rFonts w:ascii="Calibri" w:eastAsia="Times New Roman" w:hAnsi="Calibri" w:cs="Calibri"/>
                <w:color w:val="000000"/>
              </w:rPr>
              <w:t xml:space="preserve"> vers d'autres services. Certains professionnels de la santé peuvent soupçonner la violence, mais ne s'</w:t>
            </w:r>
            <w:r>
              <w:rPr>
                <w:rFonts w:ascii="Calibri" w:eastAsia="Times New Roman" w:hAnsi="Calibri" w:cs="Calibri"/>
                <w:color w:val="000000"/>
              </w:rPr>
              <w:t xml:space="preserve">en </w:t>
            </w:r>
            <w:r w:rsidRPr="00060154">
              <w:rPr>
                <w:rFonts w:ascii="Calibri" w:eastAsia="Times New Roman" w:hAnsi="Calibri" w:cs="Calibri"/>
                <w:color w:val="000000"/>
              </w:rPr>
              <w:t>enquièrent pas en pensant que ce n'est pas de leur responsabilité ou qu'ils n'ont pas d'informations sur la réponse / les soins à fournir.</w:t>
            </w:r>
          </w:p>
        </w:tc>
      </w:tr>
      <w:tr w:rsidR="00E02032" w:rsidRPr="00060154" w14:paraId="4CBB0BCA" w14:textId="77777777" w:rsidTr="00233C12">
        <w:tc>
          <w:tcPr>
            <w:tcW w:w="8702" w:type="dxa"/>
          </w:tcPr>
          <w:p w14:paraId="36CC0A7C" w14:textId="77777777" w:rsidR="00E02032" w:rsidRPr="00060154" w:rsidRDefault="00E02032" w:rsidP="00E02032">
            <w:pPr>
              <w:numPr>
                <w:ilvl w:val="1"/>
                <w:numId w:val="6"/>
              </w:numPr>
              <w:spacing w:after="0" w:line="240" w:lineRule="auto"/>
              <w:ind w:left="851" w:hanging="426"/>
              <w:jc w:val="both"/>
              <w:rPr>
                <w:rFonts w:cstheme="minorHAnsi"/>
              </w:rPr>
            </w:pPr>
            <w:r w:rsidRPr="00F60D73">
              <w:rPr>
                <w:rFonts w:cstheme="minorHAnsi"/>
                <w:u w:val="single"/>
              </w:rPr>
              <w:lastRenderedPageBreak/>
              <w:t>Dans la prise en charge des survivantes de VBG</w:t>
            </w:r>
            <w:r w:rsidRPr="00060154">
              <w:rPr>
                <w:rFonts w:cstheme="minorHAnsi"/>
              </w:rPr>
              <w:t xml:space="preserve"> : les soins spécialisés, les kits PEP ne sont pas </w:t>
            </w:r>
            <w:r>
              <w:rPr>
                <w:rFonts w:cstheme="minorHAnsi"/>
              </w:rPr>
              <w:t xml:space="preserve">systématiquement </w:t>
            </w:r>
            <w:r w:rsidRPr="00060154">
              <w:rPr>
                <w:rFonts w:cstheme="minorHAnsi"/>
              </w:rPr>
              <w:t>disponibles</w:t>
            </w:r>
            <w:r>
              <w:rPr>
                <w:rFonts w:cstheme="minorHAnsi"/>
              </w:rPr>
              <w:t>, aussi</w:t>
            </w:r>
            <w:r w:rsidRPr="00060154">
              <w:rPr>
                <w:rFonts w:cstheme="minorHAnsi"/>
              </w:rPr>
              <w:t xml:space="preserve"> les survivantes de viol arrivent aux centres de santé </w:t>
            </w:r>
            <w:r>
              <w:rPr>
                <w:rFonts w:cstheme="minorHAnsi"/>
              </w:rPr>
              <w:t xml:space="preserve">souvent </w:t>
            </w:r>
            <w:r w:rsidRPr="00060154">
              <w:rPr>
                <w:rFonts w:cstheme="minorHAnsi"/>
              </w:rPr>
              <w:t>trop tard pour la prévention du VIH et la contraception d’urgence (le délai pour l'administration des kits PEP est court - 72 heures (ou 3 jours) à partir des incidents pour les médicaments de prévention du VIH / SIDA et 120 heures (5 jours) pour la contraception d'urgence. </w:t>
            </w:r>
          </w:p>
        </w:tc>
      </w:tr>
      <w:tr w:rsidR="00E02032" w:rsidRPr="00060154" w14:paraId="6DD54589" w14:textId="77777777" w:rsidTr="00233C12">
        <w:tc>
          <w:tcPr>
            <w:tcW w:w="8702" w:type="dxa"/>
          </w:tcPr>
          <w:p w14:paraId="3EC02EEE" w14:textId="77777777" w:rsidR="00E02032" w:rsidRPr="00F60D73" w:rsidRDefault="00E02032" w:rsidP="00E02032">
            <w:pPr>
              <w:numPr>
                <w:ilvl w:val="1"/>
                <w:numId w:val="6"/>
              </w:numPr>
              <w:spacing w:after="0" w:line="240" w:lineRule="auto"/>
              <w:ind w:left="851" w:hanging="426"/>
              <w:rPr>
                <w:rFonts w:cstheme="minorHAnsi"/>
              </w:rPr>
            </w:pPr>
            <w:r w:rsidRPr="00F60D73">
              <w:rPr>
                <w:rFonts w:cstheme="minorHAnsi"/>
              </w:rPr>
              <w:t xml:space="preserve">Dans les référencements vers les services appropriés </w:t>
            </w:r>
          </w:p>
        </w:tc>
      </w:tr>
      <w:tr w:rsidR="00E02032" w:rsidRPr="00060154" w14:paraId="1BFF37EF" w14:textId="77777777" w:rsidTr="00233C12">
        <w:tc>
          <w:tcPr>
            <w:tcW w:w="8702" w:type="dxa"/>
          </w:tcPr>
          <w:p w14:paraId="29D99A3F" w14:textId="77777777" w:rsidR="00E02032" w:rsidRPr="00F60D73" w:rsidRDefault="00E02032" w:rsidP="00E02032">
            <w:pPr>
              <w:numPr>
                <w:ilvl w:val="1"/>
                <w:numId w:val="6"/>
              </w:numPr>
              <w:spacing w:after="0" w:line="240" w:lineRule="auto"/>
              <w:ind w:left="851" w:hanging="426"/>
              <w:jc w:val="both"/>
              <w:rPr>
                <w:rFonts w:cstheme="minorHAnsi"/>
              </w:rPr>
            </w:pPr>
            <w:r w:rsidRPr="00F60D73">
              <w:rPr>
                <w:rFonts w:cstheme="minorHAnsi"/>
              </w:rPr>
              <w:t>Dans l’orientation donnée aux survivantes dans un contexte centrafricain où les normes de genre et les inégalités de genre qui en découlent alimentent les VBG (ex. : justification de la violence domestique, des mariages forcés, des MFG, etc.).</w:t>
            </w:r>
          </w:p>
        </w:tc>
      </w:tr>
    </w:tbl>
    <w:p w14:paraId="29118585" w14:textId="77777777" w:rsidR="00E02032" w:rsidRDefault="00E02032" w:rsidP="00E02032">
      <w:pPr>
        <w:spacing w:after="0" w:line="240" w:lineRule="auto"/>
        <w:rPr>
          <w:rFonts w:cstheme="minorHAnsi"/>
        </w:rPr>
      </w:pPr>
    </w:p>
    <w:p w14:paraId="203C13EA" w14:textId="77777777" w:rsidR="00E02032" w:rsidRDefault="00E02032" w:rsidP="00E02032">
      <w:pPr>
        <w:jc w:val="both"/>
        <w:rPr>
          <w:rFonts w:cstheme="minorHAnsi"/>
          <w:b/>
          <w:bCs/>
        </w:rPr>
      </w:pPr>
    </w:p>
    <w:p w14:paraId="3BD4AE42" w14:textId="77777777" w:rsidR="00E02032" w:rsidRPr="00771D04" w:rsidRDefault="00E02032" w:rsidP="00E02032">
      <w:pPr>
        <w:jc w:val="both"/>
        <w:rPr>
          <w:rFonts w:cstheme="minorHAnsi"/>
          <w:b/>
          <w:bCs/>
        </w:rPr>
      </w:pPr>
      <w:r>
        <w:rPr>
          <w:rFonts w:cstheme="minorHAnsi"/>
          <w:b/>
          <w:bCs/>
        </w:rPr>
        <w:t>Le</w:t>
      </w:r>
      <w:r w:rsidRPr="00771D04">
        <w:rPr>
          <w:rFonts w:cstheme="minorHAnsi"/>
          <w:b/>
          <w:bCs/>
        </w:rPr>
        <w:t xml:space="preserve"> projet </w:t>
      </w:r>
      <w:r>
        <w:rPr>
          <w:rFonts w:cstheme="minorHAnsi"/>
          <w:b/>
          <w:bCs/>
        </w:rPr>
        <w:t xml:space="preserve">Maïngo </w:t>
      </w:r>
      <w:r w:rsidRPr="00771D04">
        <w:rPr>
          <w:rFonts w:cstheme="minorHAnsi"/>
          <w:b/>
          <w:bCs/>
        </w:rPr>
        <w:t xml:space="preserve">peut jouer un rôle prépondérant en appuyant les systèmes de prise en charge </w:t>
      </w:r>
      <w:r>
        <w:rPr>
          <w:rFonts w:cstheme="minorHAnsi"/>
          <w:b/>
          <w:bCs/>
        </w:rPr>
        <w:t xml:space="preserve">des survivantes de VBG et de référencement </w:t>
      </w:r>
      <w:r w:rsidRPr="00771D04">
        <w:rPr>
          <w:rFonts w:cstheme="minorHAnsi"/>
          <w:b/>
          <w:bCs/>
        </w:rPr>
        <w:t>pour garantir que les personnels des centres de santé disposent des compétences et des ressources nécessaires pour traiter les informations sensibles liées aux VBG</w:t>
      </w:r>
      <w:r>
        <w:rPr>
          <w:rFonts w:cstheme="minorHAnsi"/>
          <w:b/>
          <w:bCs/>
        </w:rPr>
        <w:t xml:space="preserve"> de manière sûre et confidentielle</w:t>
      </w:r>
      <w:r w:rsidRPr="00771D04">
        <w:rPr>
          <w:rFonts w:cstheme="minorHAnsi"/>
          <w:b/>
          <w:bCs/>
        </w:rPr>
        <w:t xml:space="preserve">, et que des services appropriés soient fournis selon une approche centrée sur la survivante. </w:t>
      </w:r>
    </w:p>
    <w:p w14:paraId="692DE0EE" w14:textId="77777777" w:rsidR="00E02032" w:rsidRPr="00771D04" w:rsidRDefault="00E02032" w:rsidP="00E02032">
      <w:pPr>
        <w:rPr>
          <w:rFonts w:cstheme="minorHAnsi"/>
          <w:b/>
          <w:bCs/>
        </w:rPr>
      </w:pPr>
      <w:r w:rsidRPr="00771D04">
        <w:rPr>
          <w:rFonts w:cstheme="minorHAnsi"/>
          <w:b/>
          <w:bCs/>
        </w:rPr>
        <w:t xml:space="preserve">(iii) Risques inhérents aux intersections entre la pandémie de </w:t>
      </w:r>
      <w:r>
        <w:rPr>
          <w:rFonts w:cstheme="minorHAnsi"/>
          <w:b/>
          <w:bCs/>
        </w:rPr>
        <w:t>C</w:t>
      </w:r>
      <w:r w:rsidRPr="00771D04">
        <w:rPr>
          <w:rFonts w:cstheme="minorHAnsi"/>
          <w:b/>
          <w:bCs/>
        </w:rPr>
        <w:t>ovid-19 et les VBG et EAS</w:t>
      </w:r>
      <w:r>
        <w:rPr>
          <w:rFonts w:cstheme="minorHAnsi"/>
          <w:b/>
          <w:bCs/>
        </w:rPr>
        <w:t> :</w:t>
      </w:r>
    </w:p>
    <w:p w14:paraId="201B0B31" w14:textId="77777777" w:rsidR="00E02032" w:rsidRDefault="00E02032" w:rsidP="00E02032">
      <w:pPr>
        <w:jc w:val="both"/>
        <w:rPr>
          <w:rFonts w:cstheme="minorHAnsi"/>
        </w:rPr>
      </w:pPr>
      <w:r w:rsidRPr="00AB1CF4">
        <w:rPr>
          <w:rFonts w:cstheme="minorHAnsi"/>
        </w:rPr>
        <w:t xml:space="preserve">Il est complexe de contenir la propagation rapide de </w:t>
      </w:r>
      <w:r>
        <w:rPr>
          <w:rFonts w:cstheme="minorHAnsi"/>
        </w:rPr>
        <w:t>Covid</w:t>
      </w:r>
      <w:r w:rsidRPr="00AB1CF4">
        <w:rPr>
          <w:rFonts w:cstheme="minorHAnsi"/>
        </w:rPr>
        <w:t xml:space="preserve">-19 dans les pays </w:t>
      </w:r>
      <w:r>
        <w:rPr>
          <w:rFonts w:cstheme="minorHAnsi"/>
        </w:rPr>
        <w:t>dont</w:t>
      </w:r>
      <w:r w:rsidRPr="00AB1CF4">
        <w:rPr>
          <w:rFonts w:cstheme="minorHAnsi"/>
        </w:rPr>
        <w:t xml:space="preserve"> les communautés sont confrontées à des crises de longue durée, des conflits, des catastrophes naturelles, des déplacements et d’autres urgences sanitaires. Les pays touchés par un conflit ou considérés comme fragiles telle que la République centrafricaine, possèdent certains des systèmes de santé parmi les plus faibles au monde ce qui les rend vulnérables au </w:t>
      </w:r>
      <w:r>
        <w:rPr>
          <w:rFonts w:cstheme="minorHAnsi"/>
        </w:rPr>
        <w:t>Covid</w:t>
      </w:r>
      <w:r w:rsidRPr="00AB1CF4">
        <w:rPr>
          <w:rFonts w:cstheme="minorHAnsi"/>
        </w:rPr>
        <w:t xml:space="preserve">-19 en ce qui concerne leur capacité à détecter, coordonner et gérer la composante santé publique, mais aussi à gérer les répercussions cliniques et sanitaires de la maladie au sein </w:t>
      </w:r>
      <w:r>
        <w:rPr>
          <w:rFonts w:cstheme="minorHAnsi"/>
        </w:rPr>
        <w:t xml:space="preserve">de la </w:t>
      </w:r>
      <w:r w:rsidRPr="00AB1CF4">
        <w:rPr>
          <w:rFonts w:cstheme="minorHAnsi"/>
        </w:rPr>
        <w:t>population</w:t>
      </w:r>
      <w:r>
        <w:rPr>
          <w:rStyle w:val="FootnoteReference"/>
          <w:rFonts w:cstheme="minorHAnsi"/>
        </w:rPr>
        <w:footnoteReference w:id="33"/>
      </w:r>
      <w:r w:rsidRPr="00AB1CF4">
        <w:rPr>
          <w:rFonts w:cstheme="minorHAnsi"/>
        </w:rPr>
        <w:t>.</w:t>
      </w:r>
    </w:p>
    <w:p w14:paraId="48890C86" w14:textId="77777777" w:rsidR="00E02032" w:rsidRDefault="00E02032" w:rsidP="00E02032">
      <w:pPr>
        <w:jc w:val="both"/>
        <w:rPr>
          <w:rFonts w:cstheme="minorHAnsi"/>
        </w:rPr>
      </w:pPr>
      <w:r w:rsidRPr="00A17F1E">
        <w:rPr>
          <w:rFonts w:cstheme="minorHAnsi"/>
          <w:b/>
          <w:bCs/>
        </w:rPr>
        <w:t xml:space="preserve">En outre, les soins vitaux et le soutien aux survivant.es de VBG (c’est-à-dire, la gestion clinique des viols ainsi que les prestations pour la santé mentale et l’aide psychosociale) peuvent être interrompus </w:t>
      </w:r>
      <w:r w:rsidRPr="00AB1CF4">
        <w:rPr>
          <w:rFonts w:cstheme="minorHAnsi"/>
        </w:rPr>
        <w:t xml:space="preserve">lorsque les prestataires de services de santé sont surchargés et préoccupés par le traitement des cas de </w:t>
      </w:r>
      <w:r>
        <w:rPr>
          <w:rFonts w:cstheme="minorHAnsi"/>
        </w:rPr>
        <w:t>Covid</w:t>
      </w:r>
      <w:r w:rsidRPr="00AB1CF4">
        <w:rPr>
          <w:rFonts w:cstheme="minorHAnsi"/>
        </w:rPr>
        <w:t>-19</w:t>
      </w:r>
      <w:r>
        <w:rPr>
          <w:rFonts w:cstheme="minorHAnsi"/>
        </w:rPr>
        <w:t>, mais aussi si les ressources financières destinées aux services à destination des survivant.es se retrouvent captés par la stratégie de réponse à la pandémie de Covid-19. La pandémie est donc</w:t>
      </w:r>
      <w:r w:rsidRPr="00AB1CF4">
        <w:rPr>
          <w:rFonts w:cstheme="minorHAnsi"/>
        </w:rPr>
        <w:t xml:space="preserve"> susceptible</w:t>
      </w:r>
      <w:r>
        <w:rPr>
          <w:rFonts w:cstheme="minorHAnsi"/>
        </w:rPr>
        <w:t xml:space="preserve"> </w:t>
      </w:r>
      <w:r w:rsidRPr="00AB1CF4">
        <w:rPr>
          <w:rFonts w:cstheme="minorHAnsi"/>
        </w:rPr>
        <w:t>d’amplifier le besoin de soutien et de financement supplémentaires</w:t>
      </w:r>
      <w:r>
        <w:rPr>
          <w:rFonts w:cstheme="minorHAnsi"/>
        </w:rPr>
        <w:t xml:space="preserve"> des prestataires de services aux survivant.es de VBG en RCA</w:t>
      </w:r>
      <w:r w:rsidRPr="00AB1CF4">
        <w:rPr>
          <w:rFonts w:cstheme="minorHAnsi"/>
        </w:rPr>
        <w:t xml:space="preserve">. </w:t>
      </w:r>
    </w:p>
    <w:p w14:paraId="4CB25396" w14:textId="77777777" w:rsidR="00E02032" w:rsidRPr="00AB1CF4" w:rsidRDefault="00E02032" w:rsidP="00E02032">
      <w:pPr>
        <w:jc w:val="both"/>
        <w:rPr>
          <w:rFonts w:cstheme="minorHAnsi"/>
        </w:rPr>
      </w:pPr>
      <w:r>
        <w:rPr>
          <w:rFonts w:cstheme="minorHAnsi"/>
          <w:b/>
          <w:bCs/>
        </w:rPr>
        <w:t>Dans le contexte de la pandémie i</w:t>
      </w:r>
      <w:r w:rsidRPr="00A17F1E">
        <w:rPr>
          <w:rFonts w:cstheme="minorHAnsi"/>
          <w:b/>
          <w:bCs/>
        </w:rPr>
        <w:t>l est également essentiel d’actualiser les références en matière de VBG afin de refléter les changements dans les structures de soins disponibles et d’informer les principales communautés et les prestataires de services clés des références mises à jour</w:t>
      </w:r>
      <w:r w:rsidRPr="00AB1CF4">
        <w:rPr>
          <w:rFonts w:cstheme="minorHAnsi"/>
        </w:rPr>
        <w:t xml:space="preserve">. </w:t>
      </w:r>
    </w:p>
    <w:p w14:paraId="703D7256" w14:textId="77777777" w:rsidR="00E02032" w:rsidRDefault="00E02032" w:rsidP="00E02032">
      <w:pPr>
        <w:jc w:val="both"/>
        <w:rPr>
          <w:rFonts w:cstheme="minorHAnsi"/>
        </w:rPr>
      </w:pPr>
      <w:r w:rsidRPr="00A17F1E">
        <w:rPr>
          <w:rFonts w:cstheme="minorHAnsi"/>
          <w:b/>
          <w:bCs/>
        </w:rPr>
        <w:lastRenderedPageBreak/>
        <w:t xml:space="preserve">Pour les femmes et de filles centrafricaines les répercussions que posent la pandémie de </w:t>
      </w:r>
      <w:r>
        <w:rPr>
          <w:rFonts w:cstheme="minorHAnsi"/>
          <w:b/>
          <w:bCs/>
        </w:rPr>
        <w:t>C</w:t>
      </w:r>
      <w:r w:rsidRPr="00A17F1E">
        <w:rPr>
          <w:rFonts w:cstheme="minorHAnsi"/>
          <w:b/>
          <w:bCs/>
        </w:rPr>
        <w:t>ovid-19 sont amplifiés</w:t>
      </w:r>
      <w:r w:rsidRPr="00AB1CF4">
        <w:rPr>
          <w:rFonts w:cstheme="minorHAnsi"/>
        </w:rPr>
        <w:t xml:space="preserve">. </w:t>
      </w:r>
      <w:r>
        <w:rPr>
          <w:rFonts w:cstheme="minorHAnsi"/>
        </w:rPr>
        <w:t>En effet,</w:t>
      </w:r>
      <w:r w:rsidRPr="009B14C6">
        <w:rPr>
          <w:rFonts w:cstheme="minorHAnsi"/>
        </w:rPr>
        <w:t xml:space="preserve"> la crise sanitaire exacerbe </w:t>
      </w:r>
      <w:r>
        <w:rPr>
          <w:rFonts w:cstheme="minorHAnsi"/>
        </w:rPr>
        <w:t>les VBG et les EAS</w:t>
      </w:r>
      <w:r>
        <w:rPr>
          <w:rStyle w:val="FootnoteReference"/>
          <w:rFonts w:cstheme="minorHAnsi"/>
        </w:rPr>
        <w:footnoteReference w:id="34"/>
      </w:r>
      <w:r w:rsidRPr="009B14C6">
        <w:rPr>
          <w:rFonts w:cstheme="minorHAnsi"/>
        </w:rPr>
        <w:t>. Lors d'épidémies antérieures de même ampleur, les femmes et les filles étaient exposées à un risque accru de diverses formes de violence, les formes les plus courantes étant la violence entre partenaires intimes (VPI) et l'E</w:t>
      </w:r>
      <w:r>
        <w:rPr>
          <w:rFonts w:cstheme="minorHAnsi"/>
        </w:rPr>
        <w:t>A</w:t>
      </w:r>
      <w:r w:rsidRPr="009B14C6">
        <w:rPr>
          <w:rFonts w:cstheme="minorHAnsi"/>
        </w:rPr>
        <w:t>S</w:t>
      </w:r>
      <w:r>
        <w:rPr>
          <w:rStyle w:val="FootnoteReference"/>
          <w:rFonts w:cstheme="minorHAnsi"/>
        </w:rPr>
        <w:footnoteReference w:id="35"/>
      </w:r>
      <w:r w:rsidRPr="009B14C6">
        <w:rPr>
          <w:rFonts w:cstheme="minorHAnsi"/>
        </w:rPr>
        <w:t>.</w:t>
      </w:r>
    </w:p>
    <w:p w14:paraId="00584D13" w14:textId="77777777" w:rsidR="00E02032" w:rsidRPr="00060154" w:rsidRDefault="00E02032" w:rsidP="00E02032">
      <w:pPr>
        <w:jc w:val="both"/>
        <w:rPr>
          <w:rFonts w:cstheme="minorHAnsi"/>
        </w:rPr>
      </w:pPr>
      <w:r w:rsidRPr="00B152BD">
        <w:rPr>
          <w:rFonts w:cstheme="minorHAnsi"/>
          <w:b/>
          <w:bCs/>
        </w:rPr>
        <w:t xml:space="preserve">Les </w:t>
      </w:r>
      <w:r w:rsidRPr="00AB1CF4">
        <w:rPr>
          <w:rFonts w:cstheme="minorHAnsi"/>
          <w:b/>
          <w:bCs/>
        </w:rPr>
        <w:t xml:space="preserve">activités du projet peuvent jouer un rôle prépondérant pour ce qui est de sensibiliser </w:t>
      </w:r>
      <w:r>
        <w:rPr>
          <w:rFonts w:cstheme="minorHAnsi"/>
          <w:b/>
          <w:bCs/>
        </w:rPr>
        <w:t xml:space="preserve">et former les personnels du secteur de la santé </w:t>
      </w:r>
      <w:r w:rsidRPr="00AB1CF4">
        <w:rPr>
          <w:rFonts w:cstheme="minorHAnsi"/>
          <w:b/>
          <w:bCs/>
        </w:rPr>
        <w:t xml:space="preserve">à la compréhension de la convergence entre VBG et épidémies, notamment le risque accru des incidents de VBG et comment traiter le problème de manière sécuritaire, éthique et efficace pendant </w:t>
      </w:r>
      <w:r>
        <w:rPr>
          <w:rFonts w:cstheme="minorHAnsi"/>
          <w:b/>
          <w:bCs/>
        </w:rPr>
        <w:t>la</w:t>
      </w:r>
      <w:r w:rsidRPr="00AB1CF4">
        <w:rPr>
          <w:rFonts w:cstheme="minorHAnsi"/>
          <w:b/>
          <w:bCs/>
        </w:rPr>
        <w:t xml:space="preserve"> pandémie</w:t>
      </w:r>
      <w:r>
        <w:rPr>
          <w:rFonts w:cstheme="minorHAnsi"/>
          <w:b/>
          <w:bCs/>
        </w:rPr>
        <w:t xml:space="preserve"> du Covid-19</w:t>
      </w:r>
      <w:r w:rsidRPr="00AB1CF4">
        <w:rPr>
          <w:rFonts w:cstheme="minorHAnsi"/>
        </w:rPr>
        <w:t xml:space="preserve">. </w:t>
      </w:r>
    </w:p>
    <w:p w14:paraId="569180E2" w14:textId="77777777" w:rsidR="00E02032" w:rsidRDefault="00E02032" w:rsidP="00E02032">
      <w:pPr>
        <w:pStyle w:val="Heading3"/>
        <w:jc w:val="both"/>
        <w:rPr>
          <w:rFonts w:asciiTheme="minorHAnsi" w:hAnsiTheme="minorHAnsi" w:cstheme="minorHAnsi"/>
        </w:rPr>
      </w:pPr>
      <w:bookmarkStart w:id="27" w:name="_Toc68269623"/>
      <w:r>
        <w:rPr>
          <w:rFonts w:asciiTheme="minorHAnsi" w:hAnsiTheme="minorHAnsi" w:cstheme="minorHAnsi"/>
        </w:rPr>
        <w:t>5</w:t>
      </w:r>
      <w:r w:rsidRPr="00AB1CF4">
        <w:rPr>
          <w:rFonts w:asciiTheme="minorHAnsi" w:hAnsiTheme="minorHAnsi" w:cstheme="minorHAnsi"/>
        </w:rPr>
        <w:t>.</w:t>
      </w:r>
      <w:r>
        <w:rPr>
          <w:rFonts w:asciiTheme="minorHAnsi" w:hAnsiTheme="minorHAnsi" w:cstheme="minorHAnsi"/>
        </w:rPr>
        <w:t>4</w:t>
      </w:r>
      <w:r w:rsidRPr="00AB1CF4">
        <w:rPr>
          <w:rFonts w:asciiTheme="minorHAnsi" w:hAnsiTheme="minorHAnsi" w:cstheme="minorHAnsi"/>
        </w:rPr>
        <w:t xml:space="preserve"> Risques directs et indirects en lien aux activités </w:t>
      </w:r>
      <w:r>
        <w:rPr>
          <w:rFonts w:asciiTheme="minorHAnsi" w:hAnsiTheme="minorHAnsi" w:cstheme="minorHAnsi"/>
        </w:rPr>
        <w:t>dans le secteur de l’éducation et du renforcement des opportunités d’apprentissage (Composante 2.2 &amp; 2.3)</w:t>
      </w:r>
      <w:bookmarkEnd w:id="27"/>
      <w:r>
        <w:rPr>
          <w:rFonts w:asciiTheme="minorHAnsi" w:hAnsiTheme="minorHAnsi" w:cstheme="minorHAnsi"/>
        </w:rPr>
        <w:t xml:space="preserve"> </w:t>
      </w:r>
    </w:p>
    <w:p w14:paraId="270A33AC" w14:textId="77777777" w:rsidR="00E02032" w:rsidRDefault="00E02032" w:rsidP="00E02032">
      <w:pPr>
        <w:jc w:val="both"/>
      </w:pPr>
    </w:p>
    <w:p w14:paraId="4D6D1FFB" w14:textId="77777777" w:rsidR="00E02032" w:rsidRDefault="00E02032" w:rsidP="00E02032">
      <w:pPr>
        <w:jc w:val="both"/>
        <w:rPr>
          <w:rFonts w:cstheme="minorHAnsi"/>
          <w:b/>
          <w:bCs/>
        </w:rPr>
      </w:pPr>
      <w:r>
        <w:rPr>
          <w:rFonts w:cstheme="minorHAnsi"/>
          <w:b/>
          <w:bCs/>
        </w:rPr>
        <w:t xml:space="preserve">Dans sa seconde composante, le </w:t>
      </w:r>
      <w:r w:rsidRPr="00C82915">
        <w:rPr>
          <w:rFonts w:cstheme="minorHAnsi"/>
          <w:b/>
          <w:bCs/>
        </w:rPr>
        <w:t xml:space="preserve">projet Maïngo prévoit </w:t>
      </w:r>
      <w:r>
        <w:rPr>
          <w:rFonts w:cstheme="minorHAnsi"/>
          <w:b/>
          <w:bCs/>
        </w:rPr>
        <w:t xml:space="preserve">de promouvoir l’accès à l’éducation des </w:t>
      </w:r>
      <w:r w:rsidRPr="00C82915">
        <w:rPr>
          <w:rFonts w:cstheme="minorHAnsi"/>
          <w:b/>
          <w:bCs/>
        </w:rPr>
        <w:t>filles</w:t>
      </w:r>
      <w:r>
        <w:rPr>
          <w:rFonts w:cstheme="minorHAnsi"/>
          <w:b/>
          <w:bCs/>
        </w:rPr>
        <w:t xml:space="preserve"> notamment en visant la réduction des barrières financières et le renforcement des écoles et établissements scolaires comme espaces sûrs pour l’éducation des filles. Cette sous-composante du projet entend également promouvoir et renforcer les opportunités d’apprentissage et de formations courtes à destination des filles et adolescentes. </w:t>
      </w:r>
    </w:p>
    <w:p w14:paraId="6E70B97F" w14:textId="77777777" w:rsidR="00E02032" w:rsidRDefault="00E02032" w:rsidP="00E02032">
      <w:pPr>
        <w:spacing w:line="240" w:lineRule="auto"/>
        <w:jc w:val="both"/>
        <w:rPr>
          <w:lang w:bidi="fr-FR"/>
        </w:rPr>
      </w:pPr>
      <w:r>
        <w:rPr>
          <w:rFonts w:cstheme="minorHAnsi"/>
        </w:rPr>
        <w:t>Il est à noter que les risques directs d’EAS et HS ont été récemment analysés dans le cadre du projet PAPSE II.</w:t>
      </w:r>
      <w:r>
        <w:rPr>
          <w:rStyle w:val="FootnoteReference"/>
          <w:rFonts w:cstheme="minorHAnsi"/>
        </w:rPr>
        <w:footnoteReference w:id="36"/>
      </w:r>
      <w:r>
        <w:rPr>
          <w:rFonts w:cstheme="minorHAnsi"/>
        </w:rPr>
        <w:t xml:space="preserve"> </w:t>
      </w:r>
      <w:r>
        <w:rPr>
          <w:lang w:bidi="fr-FR"/>
        </w:rPr>
        <w:t>Cette analyse s’est notamment appuyée sur l</w:t>
      </w:r>
      <w:r w:rsidRPr="007B254D">
        <w:rPr>
          <w:lang w:bidi="fr-FR"/>
        </w:rPr>
        <w:t>es résultats de l’enquête réalisée en 2014 sur les VBG en milieu scolaire et universitaire</w:t>
      </w:r>
      <w:r w:rsidRPr="007B254D">
        <w:rPr>
          <w:rStyle w:val="FootnoteReference"/>
          <w:lang w:bidi="fr-FR"/>
        </w:rPr>
        <w:footnoteReference w:id="37"/>
      </w:r>
      <w:r w:rsidRPr="007B254D">
        <w:rPr>
          <w:lang w:bidi="fr-FR"/>
        </w:rPr>
        <w:t xml:space="preserve"> </w:t>
      </w:r>
      <w:r>
        <w:rPr>
          <w:lang w:bidi="fr-FR"/>
        </w:rPr>
        <w:t xml:space="preserve">en République centrafricaine qui </w:t>
      </w:r>
      <w:r w:rsidRPr="007B254D">
        <w:rPr>
          <w:lang w:bidi="fr-FR"/>
        </w:rPr>
        <w:t>montrent que les actes de violences verbales en milieu scolaire sont nombreux et les proportions d’élèves/étudiants victimes se situent au-delà de 68% sur une période de référence de 12 mois.</w:t>
      </w:r>
      <w:r>
        <w:rPr>
          <w:lang w:bidi="fr-FR"/>
        </w:rPr>
        <w:t xml:space="preserve"> </w:t>
      </w:r>
    </w:p>
    <w:p w14:paraId="75892AC1" w14:textId="77777777" w:rsidR="00E02032" w:rsidRDefault="00E02032" w:rsidP="00E02032">
      <w:pPr>
        <w:spacing w:line="240" w:lineRule="auto"/>
        <w:jc w:val="both"/>
        <w:rPr>
          <w:lang w:bidi="fr-FR"/>
        </w:rPr>
      </w:pPr>
      <w:r>
        <w:rPr>
          <w:lang w:bidi="fr-FR"/>
        </w:rPr>
        <w:t xml:space="preserve">Cette </w:t>
      </w:r>
      <w:r w:rsidRPr="007B254D">
        <w:rPr>
          <w:lang w:bidi="fr-FR"/>
        </w:rPr>
        <w:t>enquête menée en 2014 sur les VBG en milieu scolaire et universitaire a montré que les Violences Basées sur le Genre en Milieu Scolaire (VBGMS)</w:t>
      </w:r>
      <w:r w:rsidRPr="007B254D">
        <w:rPr>
          <w:rStyle w:val="FootnoteReference"/>
          <w:lang w:bidi="fr-FR"/>
        </w:rPr>
        <w:footnoteReference w:id="38"/>
      </w:r>
      <w:r w:rsidRPr="007B254D">
        <w:rPr>
          <w:lang w:bidi="fr-FR"/>
        </w:rPr>
        <w:t xml:space="preserve"> sont essentiellement </w:t>
      </w:r>
      <w:r w:rsidRPr="00325E0A">
        <w:rPr>
          <w:b/>
          <w:bCs/>
          <w:lang w:bidi="fr-FR"/>
        </w:rPr>
        <w:t>verbales</w:t>
      </w:r>
      <w:r w:rsidRPr="007B254D">
        <w:rPr>
          <w:lang w:bidi="fr-FR"/>
        </w:rPr>
        <w:t xml:space="preserve"> ou </w:t>
      </w:r>
      <w:r w:rsidRPr="00325E0A">
        <w:rPr>
          <w:b/>
          <w:bCs/>
          <w:lang w:bidi="fr-FR"/>
        </w:rPr>
        <w:t>psychologiques</w:t>
      </w:r>
      <w:r w:rsidRPr="007B254D">
        <w:rPr>
          <w:lang w:bidi="fr-FR"/>
        </w:rPr>
        <w:t xml:space="preserve">, </w:t>
      </w:r>
      <w:r w:rsidRPr="00325E0A">
        <w:rPr>
          <w:b/>
          <w:bCs/>
          <w:lang w:bidi="fr-FR"/>
        </w:rPr>
        <w:t>physiques</w:t>
      </w:r>
      <w:r w:rsidRPr="007B254D">
        <w:rPr>
          <w:lang w:bidi="fr-FR"/>
        </w:rPr>
        <w:t xml:space="preserve"> et </w:t>
      </w:r>
      <w:r w:rsidRPr="00325E0A">
        <w:rPr>
          <w:b/>
          <w:bCs/>
          <w:lang w:bidi="fr-FR"/>
        </w:rPr>
        <w:t>sexuelles</w:t>
      </w:r>
      <w:r>
        <w:rPr>
          <w:rStyle w:val="FootnoteReference"/>
          <w:b/>
          <w:bCs/>
          <w:lang w:bidi="fr-FR"/>
        </w:rPr>
        <w:footnoteReference w:id="39"/>
      </w:r>
      <w:r w:rsidRPr="007B254D">
        <w:rPr>
          <w:lang w:bidi="fr-FR"/>
        </w:rPr>
        <w:t xml:space="preserve">.  </w:t>
      </w:r>
      <w:r>
        <w:rPr>
          <w:lang w:bidi="fr-FR"/>
        </w:rPr>
        <w:t xml:space="preserve">De plus, les consultations avec les communautés réalisées lors de la phase de préparation du projet PAPSE II susmentionnée avaient fait ressortir l’insécurité et l’insalubrité des établissements scolaires comme des facteurs de risques aux VBG envers les filles et les garçons. </w:t>
      </w:r>
    </w:p>
    <w:p w14:paraId="2A3A246D" w14:textId="77777777" w:rsidR="00E02032" w:rsidRPr="009B5A73" w:rsidRDefault="00E02032" w:rsidP="00E02032">
      <w:pPr>
        <w:pStyle w:val="IntenseQuote"/>
        <w:rPr>
          <w:rFonts w:cstheme="minorHAnsi"/>
        </w:rPr>
      </w:pPr>
      <w:r w:rsidRPr="009B5A73">
        <w:rPr>
          <w:rFonts w:cstheme="minorHAnsi"/>
        </w:rPr>
        <w:t xml:space="preserve">Violences sexuelles en milieu scolaire </w:t>
      </w:r>
    </w:p>
    <w:p w14:paraId="13943C3F" w14:textId="77777777" w:rsidR="00E02032" w:rsidRPr="007B254D" w:rsidRDefault="00E02032" w:rsidP="00E02032">
      <w:pPr>
        <w:spacing w:line="240" w:lineRule="auto"/>
        <w:jc w:val="both"/>
        <w:rPr>
          <w:lang w:bidi="fr-FR"/>
        </w:rPr>
      </w:pPr>
      <w:r w:rsidRPr="007B254D">
        <w:rPr>
          <w:lang w:bidi="fr-FR"/>
        </w:rPr>
        <w:t xml:space="preserve">Aussi bien les hommes que les femmes sont principalement victimes des attouchements (18% parmi les femmes contre 12,5% parmi les hommes) et d’imposition d’images pornographiques (10,8% </w:t>
      </w:r>
      <w:r w:rsidRPr="007B254D">
        <w:rPr>
          <w:lang w:bidi="fr-FR"/>
        </w:rPr>
        <w:lastRenderedPageBreak/>
        <w:t xml:space="preserve">d’hommes contre 10% de femmes). L’écart de 5,5 points entre les victimes hommes et femmes d’attouchements met en exergue le risque plus élevé que courraient les femmes à l’égard de ce type d’acte. </w:t>
      </w:r>
      <w:r w:rsidRPr="007B254D">
        <w:rPr>
          <w:b/>
          <w:bCs/>
          <w:lang w:bidi="fr-FR"/>
        </w:rPr>
        <w:t>Par ailleurs, les données collectées nous permettent de relever, s’il en était encore besoin, des actes de violences perpétrés principalement contre des filles ou des femmes : des punitions permanentes pour avoir refusé des avances sexuelles (9,4% de femmes victimes) et l’imposition de rapports sexuels pour l’obtention des notes (7,9% de femmes victimes) appelées communément « notes sexuellement transmissibles ».</w:t>
      </w:r>
      <w:r w:rsidRPr="007B254D">
        <w:rPr>
          <w:lang w:bidi="fr-FR"/>
        </w:rPr>
        <w:t xml:space="preserve"> </w:t>
      </w:r>
    </w:p>
    <w:p w14:paraId="38D7FDC6" w14:textId="77777777" w:rsidR="00E02032" w:rsidRPr="007B254D" w:rsidRDefault="00E02032" w:rsidP="00E02032">
      <w:pPr>
        <w:spacing w:line="240" w:lineRule="auto"/>
        <w:jc w:val="both"/>
        <w:rPr>
          <w:lang w:bidi="fr-FR"/>
        </w:rPr>
      </w:pPr>
      <w:r>
        <w:rPr>
          <w:b/>
          <w:bCs/>
          <w:lang w:bidi="fr-FR"/>
        </w:rPr>
        <w:t>C</w:t>
      </w:r>
      <w:r w:rsidRPr="007B254D">
        <w:rPr>
          <w:b/>
          <w:bCs/>
          <w:lang w:bidi="fr-FR"/>
        </w:rPr>
        <w:t>es actes sexistes sont le fait des enseignants dans près de trois cas sur quatre.</w:t>
      </w:r>
      <w:r w:rsidRPr="007B254D">
        <w:rPr>
          <w:lang w:bidi="fr-FR"/>
        </w:rPr>
        <w:t xml:space="preserve"> Il convient de souligner ici les plaintes, non moins négligeables, des hommes (près de 6,6% d’entre eux contre moins 2% de femmes) qui estiment être victimes de l’exhibition du corps et de la nudité : les femmes étant les principales auteures de ces actes. Le viol ou les tentatives de viol restent très marginaux, mais ont tout de même été perpétrés contre 2,3% de femmes et 2,4% d’hommes au cours des 12 derniers mois ayant précédé l’enquête.</w:t>
      </w:r>
    </w:p>
    <w:p w14:paraId="512F7A4F" w14:textId="77777777" w:rsidR="00E02032" w:rsidRDefault="00E02032" w:rsidP="00E02032">
      <w:pPr>
        <w:spacing w:line="240" w:lineRule="auto"/>
        <w:jc w:val="both"/>
        <w:rPr>
          <w:lang w:bidi="fr-FR"/>
        </w:rPr>
      </w:pPr>
      <w:r w:rsidRPr="007B254D">
        <w:rPr>
          <w:b/>
          <w:bCs/>
          <w:lang w:bidi="fr-FR"/>
        </w:rPr>
        <w:t xml:space="preserve">Dès les âges de 10 à 14 ans déjà, les jeunes centrafricains des deux sexes (12,6% parmi les garçons et 12,9% parmi les filles) déclarent avoir été victimes de violences sexuelles. </w:t>
      </w:r>
      <w:r w:rsidRPr="007B254D">
        <w:rPr>
          <w:lang w:bidi="fr-FR"/>
        </w:rPr>
        <w:t xml:space="preserve">Ces actes de violence sont davantage observés au sein du groupe d’âges 20-24 ans. En effet, le groupe d’âges 20-24 est celui de la plus grande vulnérabilité à l’égard des violences sexuelles aussi bien chez les hommes (45% de victimes) que chez les femmes (60,5% de victimes). </w:t>
      </w:r>
    </w:p>
    <w:p w14:paraId="2573F953" w14:textId="77777777" w:rsidR="00E02032" w:rsidRPr="009F362A" w:rsidRDefault="00E02032" w:rsidP="00E02032">
      <w:pPr>
        <w:spacing w:line="240" w:lineRule="auto"/>
        <w:jc w:val="both"/>
        <w:rPr>
          <w:lang w:bidi="fr-FR"/>
        </w:rPr>
      </w:pPr>
      <w:r w:rsidRPr="007B254D">
        <w:rPr>
          <w:lang w:bidi="fr-FR"/>
        </w:rPr>
        <w:t xml:space="preserve">Les actes de violences sexuelles seraient donc fréquents chez les femmes qui en sont très souvent victimes à tous les groupes d’âges, comparées aux hommes. </w:t>
      </w:r>
      <w:r w:rsidRPr="004002D1">
        <w:rPr>
          <w:b/>
          <w:bCs/>
          <w:lang w:bidi="fr-FR"/>
        </w:rPr>
        <w:t xml:space="preserve">Les milieux scolaires, secondaire pour les femmes (48,6% de victimes) et universitaire pour les hommes (46,2% de victimes), sont les lieux où se manifestent le plus les actes de violences sexuelles. </w:t>
      </w:r>
      <w:r w:rsidRPr="007B254D">
        <w:rPr>
          <w:lang w:bidi="fr-FR"/>
        </w:rPr>
        <w:t xml:space="preserve"> Par ailleurs, le milieu urbain est en proie à plus d’actes de violence sexuelle parmi les hommes (29,6%) et les femmes (28,9%) comparé au milieu rural où 21,6% de femmes sont victimes contre 14,3% d’hommes (</w:t>
      </w:r>
      <w:r>
        <w:rPr>
          <w:lang w:bidi="fr-FR"/>
        </w:rPr>
        <w:t>cf. Annexe 4 - T</w:t>
      </w:r>
      <w:r w:rsidRPr="007B254D">
        <w:rPr>
          <w:lang w:bidi="fr-FR"/>
        </w:rPr>
        <w:t xml:space="preserve">ableau </w:t>
      </w:r>
      <w:r>
        <w:rPr>
          <w:lang w:bidi="fr-FR"/>
        </w:rPr>
        <w:t>A</w:t>
      </w:r>
      <w:r w:rsidRPr="007B254D">
        <w:rPr>
          <w:lang w:bidi="fr-FR"/>
        </w:rPr>
        <w:t>)</w:t>
      </w:r>
      <w:r>
        <w:rPr>
          <w:lang w:bidi="fr-FR"/>
        </w:rPr>
        <w:t>.</w:t>
      </w:r>
    </w:p>
    <w:p w14:paraId="6D30A9B6" w14:textId="77777777" w:rsidR="00E02032" w:rsidRDefault="00E02032" w:rsidP="00E02032">
      <w:pPr>
        <w:spacing w:line="240" w:lineRule="auto"/>
        <w:jc w:val="both"/>
        <w:rPr>
          <w:rFonts w:cstheme="minorHAnsi"/>
        </w:rPr>
      </w:pPr>
      <w:r>
        <w:rPr>
          <w:rFonts w:cstheme="minorHAnsi"/>
        </w:rPr>
        <w:t>En plus de ces données sur les VBGMS, l</w:t>
      </w:r>
      <w:r w:rsidRPr="00AB1CF4">
        <w:rPr>
          <w:rFonts w:cstheme="minorHAnsi"/>
        </w:rPr>
        <w:t xml:space="preserve">’évaluation </w:t>
      </w:r>
      <w:r>
        <w:rPr>
          <w:rFonts w:cstheme="minorHAnsi"/>
        </w:rPr>
        <w:t xml:space="preserve">spécifique des activités du projet Maïngo </w:t>
      </w:r>
      <w:r w:rsidRPr="00AB1CF4">
        <w:rPr>
          <w:rFonts w:cstheme="minorHAnsi"/>
        </w:rPr>
        <w:t xml:space="preserve">a permis de faire ressortir des risques d’EAS et HS directement </w:t>
      </w:r>
      <w:r>
        <w:rPr>
          <w:rFonts w:cstheme="minorHAnsi"/>
        </w:rPr>
        <w:t>ou</w:t>
      </w:r>
      <w:r w:rsidRPr="00AB1CF4">
        <w:rPr>
          <w:rFonts w:cstheme="minorHAnsi"/>
        </w:rPr>
        <w:t xml:space="preserve"> indirectement liés aux </w:t>
      </w:r>
      <w:r>
        <w:rPr>
          <w:rFonts w:cstheme="minorHAnsi"/>
        </w:rPr>
        <w:t>activités de cette sous-composante éducation du projet.</w:t>
      </w:r>
    </w:p>
    <w:p w14:paraId="7EEB8CAC" w14:textId="58CCFE86" w:rsidR="00E02032" w:rsidRPr="00AB1CF4" w:rsidRDefault="00E02032" w:rsidP="00E02032">
      <w:pPr>
        <w:pStyle w:val="IntenseQuote"/>
        <w:rPr>
          <w:rFonts w:cstheme="minorHAnsi"/>
        </w:rPr>
        <w:sectPr w:rsidR="00E02032" w:rsidRPr="00AB1CF4" w:rsidSect="008A228D">
          <w:type w:val="continuous"/>
          <w:pgSz w:w="11906" w:h="16838"/>
          <w:pgMar w:top="1417" w:right="1417" w:bottom="1417" w:left="1417" w:header="708" w:footer="708" w:gutter="0"/>
          <w:cols w:space="708"/>
          <w:titlePg/>
          <w:docGrid w:linePitch="360"/>
        </w:sectPr>
      </w:pPr>
      <w:r w:rsidRPr="00216C35">
        <w:t xml:space="preserve">Tableau </w:t>
      </w:r>
      <w:r>
        <w:t>5</w:t>
      </w:r>
      <w:r w:rsidRPr="00216C35">
        <w:t xml:space="preserve"> Risques directs et indirects de VBG, EAS et HS – Composante </w:t>
      </w:r>
      <w:r>
        <w:rPr>
          <w:rFonts w:cstheme="minorHAnsi"/>
        </w:rPr>
        <w:t>2.2</w:t>
      </w:r>
      <w:r w:rsidR="00A0687A">
        <w:rPr>
          <w:rFonts w:cstheme="minorHAnsi"/>
        </w:rPr>
        <w:t xml:space="preserve"> et 2.3</w:t>
      </w:r>
    </w:p>
    <w:p w14:paraId="2D808F82" w14:textId="77777777" w:rsidR="00E02032" w:rsidRDefault="00E02032" w:rsidP="00E02032">
      <w:pPr>
        <w:spacing w:line="240" w:lineRule="auto"/>
        <w:jc w:val="both"/>
        <w:rPr>
          <w:rFonts w:cstheme="minorHAnsi"/>
        </w:rPr>
      </w:pPr>
    </w:p>
    <w:tbl>
      <w:tblPr>
        <w:tblStyle w:val="TableGrid"/>
        <w:tblW w:w="0" w:type="auto"/>
        <w:tblInd w:w="360" w:type="dxa"/>
        <w:tblLook w:val="04A0" w:firstRow="1" w:lastRow="0" w:firstColumn="1" w:lastColumn="0" w:noHBand="0" w:noVBand="1"/>
      </w:tblPr>
      <w:tblGrid>
        <w:gridCol w:w="8702"/>
      </w:tblGrid>
      <w:tr w:rsidR="00E02032" w:rsidRPr="00060154" w14:paraId="12D934ED" w14:textId="77777777" w:rsidTr="00233C12">
        <w:tc>
          <w:tcPr>
            <w:tcW w:w="8702" w:type="dxa"/>
          </w:tcPr>
          <w:p w14:paraId="380E2CCB" w14:textId="77777777" w:rsidR="00E02032" w:rsidRPr="00060154" w:rsidRDefault="00E02032" w:rsidP="00233C12">
            <w:pPr>
              <w:rPr>
                <w:rFonts w:cstheme="minorHAnsi"/>
                <w:b/>
                <w:bCs/>
              </w:rPr>
            </w:pPr>
            <w:r w:rsidRPr="00060154">
              <w:rPr>
                <w:rFonts w:cstheme="minorHAnsi"/>
                <w:b/>
                <w:bCs/>
              </w:rPr>
              <w:t xml:space="preserve">Risques directs de VBG, EAS et HS: </w:t>
            </w:r>
          </w:p>
        </w:tc>
      </w:tr>
      <w:tr w:rsidR="00E02032" w:rsidRPr="00060154" w14:paraId="1842E221" w14:textId="77777777" w:rsidTr="00233C12">
        <w:tc>
          <w:tcPr>
            <w:tcW w:w="8702" w:type="dxa"/>
            <w:tcBorders>
              <w:bottom w:val="single" w:sz="4" w:space="0" w:color="auto"/>
            </w:tcBorders>
          </w:tcPr>
          <w:p w14:paraId="31D01F05" w14:textId="77777777" w:rsidR="00E02032" w:rsidRPr="00060154" w:rsidRDefault="00E02032" w:rsidP="00E02032">
            <w:pPr>
              <w:numPr>
                <w:ilvl w:val="0"/>
                <w:numId w:val="26"/>
              </w:numPr>
              <w:tabs>
                <w:tab w:val="clear" w:pos="720"/>
                <w:tab w:val="num" w:pos="234"/>
              </w:tabs>
              <w:spacing w:after="0" w:line="240" w:lineRule="auto"/>
              <w:ind w:left="234" w:hanging="234"/>
              <w:jc w:val="both"/>
              <w:rPr>
                <w:rFonts w:ascii="Times New Roman" w:eastAsia="Times New Roman" w:hAnsi="Times New Roman" w:cs="Times New Roman"/>
                <w:color w:val="000000"/>
              </w:rPr>
            </w:pPr>
            <w:r w:rsidRPr="00060154">
              <w:rPr>
                <w:rFonts w:cstheme="minorHAnsi"/>
              </w:rPr>
              <w:t xml:space="preserve">Risques de VBG, EAS par le personnel </w:t>
            </w:r>
            <w:r>
              <w:rPr>
                <w:rFonts w:cstheme="minorHAnsi"/>
              </w:rPr>
              <w:t>des écoles et autres établissements scolaires et de formations y compris les enseignants envers les filles et les adolescentes. Les risques de violences sexuelles contre les filles augmentant avec l’âge des filles et des adolescentes et le niveau scolaire (cf. données sur les VBGMS susmentionnées).</w:t>
            </w:r>
          </w:p>
        </w:tc>
      </w:tr>
      <w:tr w:rsidR="00E02032" w:rsidRPr="00060154" w14:paraId="1AA806CD" w14:textId="77777777" w:rsidTr="00233C12">
        <w:tc>
          <w:tcPr>
            <w:tcW w:w="8702" w:type="dxa"/>
          </w:tcPr>
          <w:p w14:paraId="58E9C143" w14:textId="77777777" w:rsidR="00E02032" w:rsidRPr="004C06E4" w:rsidRDefault="00E02032" w:rsidP="00E02032">
            <w:pPr>
              <w:numPr>
                <w:ilvl w:val="0"/>
                <w:numId w:val="26"/>
              </w:numPr>
              <w:tabs>
                <w:tab w:val="clear" w:pos="720"/>
                <w:tab w:val="num" w:pos="234"/>
              </w:tabs>
              <w:spacing w:after="0" w:line="240" w:lineRule="auto"/>
              <w:ind w:left="234" w:hanging="234"/>
              <w:jc w:val="both"/>
              <w:rPr>
                <w:rFonts w:ascii="Times New Roman" w:eastAsia="Times New Roman" w:hAnsi="Times New Roman" w:cs="Times New Roman"/>
                <w:color w:val="000000"/>
              </w:rPr>
            </w:pPr>
            <w:r w:rsidRPr="00060154">
              <w:rPr>
                <w:rFonts w:cstheme="minorHAnsi"/>
              </w:rPr>
              <w:t xml:space="preserve">Risques </w:t>
            </w:r>
            <w:r>
              <w:rPr>
                <w:rFonts w:cstheme="minorHAnsi"/>
              </w:rPr>
              <w:t xml:space="preserve">de VBG, EAS et HS </w:t>
            </w:r>
            <w:r w:rsidRPr="00060154">
              <w:rPr>
                <w:rFonts w:cstheme="minorHAnsi"/>
              </w:rPr>
              <w:t xml:space="preserve">liés à l’absence de code de conduite pour les personnels des </w:t>
            </w:r>
            <w:r>
              <w:rPr>
                <w:rFonts w:cstheme="minorHAnsi"/>
              </w:rPr>
              <w:t>écoles</w:t>
            </w:r>
            <w:r w:rsidRPr="00060154">
              <w:rPr>
                <w:rFonts w:cstheme="minorHAnsi"/>
              </w:rPr>
              <w:t xml:space="preserve"> </w:t>
            </w:r>
            <w:r>
              <w:rPr>
                <w:rFonts w:cstheme="minorHAnsi"/>
              </w:rPr>
              <w:t>et autres établissements scolaires et de formations</w:t>
            </w:r>
            <w:r w:rsidRPr="00060154">
              <w:rPr>
                <w:rFonts w:cstheme="minorHAnsi"/>
              </w:rPr>
              <w:t xml:space="preserve"> </w:t>
            </w:r>
            <w:r>
              <w:rPr>
                <w:rFonts w:cstheme="minorHAnsi"/>
              </w:rPr>
              <w:t xml:space="preserve">qui garantissent un environnement de travail sûr et respectueux pour le personnel féminin et </w:t>
            </w:r>
            <w:r w:rsidRPr="00060154">
              <w:rPr>
                <w:rFonts w:cstheme="minorHAnsi"/>
              </w:rPr>
              <w:t>qui prohibe et sanctionne les EAS et HS</w:t>
            </w:r>
            <w:r>
              <w:rPr>
                <w:rFonts w:cstheme="minorHAnsi"/>
              </w:rPr>
              <w:t>.</w:t>
            </w:r>
          </w:p>
        </w:tc>
      </w:tr>
      <w:tr w:rsidR="00E02032" w:rsidRPr="00060154" w14:paraId="628F75CA" w14:textId="77777777" w:rsidTr="00233C12">
        <w:tc>
          <w:tcPr>
            <w:tcW w:w="8702" w:type="dxa"/>
          </w:tcPr>
          <w:p w14:paraId="3B19A9AF" w14:textId="77777777" w:rsidR="00E02032" w:rsidRPr="004C06E4" w:rsidRDefault="00E02032" w:rsidP="00E02032">
            <w:pPr>
              <w:pStyle w:val="ListParagraph"/>
              <w:numPr>
                <w:ilvl w:val="0"/>
                <w:numId w:val="36"/>
              </w:numPr>
              <w:spacing w:after="0" w:line="240" w:lineRule="auto"/>
              <w:ind w:left="242" w:hanging="242"/>
              <w:jc w:val="both"/>
              <w:rPr>
                <w:lang w:bidi="fr-FR"/>
              </w:rPr>
            </w:pPr>
            <w:r>
              <w:rPr>
                <w:lang w:bidi="fr-FR"/>
              </w:rPr>
              <w:t>R</w:t>
            </w:r>
            <w:r w:rsidRPr="00B326E6">
              <w:rPr>
                <w:lang w:bidi="fr-FR"/>
              </w:rPr>
              <w:t>isques associés à</w:t>
            </w:r>
            <w:r>
              <w:rPr>
                <w:lang w:bidi="fr-FR"/>
              </w:rPr>
              <w:t xml:space="preserve"> un possible</w:t>
            </w:r>
            <w:r w:rsidRPr="00B326E6">
              <w:rPr>
                <w:lang w:bidi="fr-FR"/>
              </w:rPr>
              <w:t xml:space="preserve"> </w:t>
            </w:r>
            <w:r>
              <w:rPr>
                <w:b/>
                <w:bCs/>
                <w:lang w:bidi="fr-FR"/>
              </w:rPr>
              <w:t>apport</w:t>
            </w:r>
            <w:r w:rsidRPr="004C06E4">
              <w:rPr>
                <w:b/>
                <w:bCs/>
                <w:lang w:bidi="fr-FR"/>
              </w:rPr>
              <w:t xml:space="preserve"> de main-d'œuvre</w:t>
            </w:r>
            <w:r w:rsidRPr="00B326E6">
              <w:rPr>
                <w:lang w:bidi="fr-FR"/>
              </w:rPr>
              <w:t xml:space="preserve"> sur la VBG / E</w:t>
            </w:r>
            <w:r>
              <w:rPr>
                <w:lang w:bidi="fr-FR"/>
              </w:rPr>
              <w:t>A</w:t>
            </w:r>
            <w:r w:rsidRPr="00B326E6">
              <w:rPr>
                <w:lang w:bidi="fr-FR"/>
              </w:rPr>
              <w:t xml:space="preserve">S dans les communautés sont évalués comme </w:t>
            </w:r>
            <w:r>
              <w:rPr>
                <w:lang w:bidi="fr-FR"/>
              </w:rPr>
              <w:t>modérés</w:t>
            </w:r>
            <w:r w:rsidRPr="00B326E6">
              <w:rPr>
                <w:lang w:bidi="fr-FR"/>
              </w:rPr>
              <w:t xml:space="preserve">. </w:t>
            </w:r>
            <w:r>
              <w:rPr>
                <w:lang w:bidi="fr-FR"/>
              </w:rPr>
              <w:t>L</w:t>
            </w:r>
            <w:r w:rsidRPr="00B326E6">
              <w:rPr>
                <w:lang w:bidi="fr-FR"/>
              </w:rPr>
              <w:t xml:space="preserve">es </w:t>
            </w:r>
            <w:r w:rsidRPr="004C06E4">
              <w:rPr>
                <w:b/>
                <w:bCs/>
                <w:lang w:bidi="fr-FR"/>
              </w:rPr>
              <w:t xml:space="preserve">activités de réhabilitation des </w:t>
            </w:r>
            <w:r>
              <w:rPr>
                <w:b/>
                <w:bCs/>
                <w:lang w:bidi="fr-FR"/>
              </w:rPr>
              <w:t>6</w:t>
            </w:r>
            <w:r w:rsidRPr="004C06E4">
              <w:rPr>
                <w:b/>
                <w:bCs/>
                <w:lang w:bidi="fr-FR"/>
              </w:rPr>
              <w:t xml:space="preserve"> </w:t>
            </w:r>
            <w:r w:rsidRPr="004C06E4">
              <w:rPr>
                <w:b/>
                <w:bCs/>
                <w:lang w:bidi="fr-FR"/>
              </w:rPr>
              <w:lastRenderedPageBreak/>
              <w:t xml:space="preserve">établissements </w:t>
            </w:r>
            <w:r>
              <w:rPr>
                <w:b/>
                <w:bCs/>
                <w:lang w:bidi="fr-FR"/>
              </w:rPr>
              <w:t>d’apprentissage et formations courtes</w:t>
            </w:r>
            <w:r>
              <w:rPr>
                <w:rStyle w:val="FootnoteReference"/>
                <w:b/>
                <w:bCs/>
                <w:lang w:bidi="fr-FR"/>
              </w:rPr>
              <w:footnoteReference w:id="40"/>
            </w:r>
            <w:r>
              <w:rPr>
                <w:lang w:bidi="fr-FR"/>
              </w:rPr>
              <w:t xml:space="preserve"> </w:t>
            </w:r>
            <w:r w:rsidRPr="00B326E6">
              <w:rPr>
                <w:lang w:bidi="fr-FR"/>
              </w:rPr>
              <w:t>peuvent amener temporairement des travailleurs extérieurs aux communautés</w:t>
            </w:r>
            <w:r>
              <w:rPr>
                <w:lang w:bidi="fr-FR"/>
              </w:rPr>
              <w:t>. Dès lors</w:t>
            </w:r>
            <w:r w:rsidRPr="00B326E6">
              <w:rPr>
                <w:lang w:bidi="fr-FR"/>
              </w:rPr>
              <w:t>, les risques de VBG / E</w:t>
            </w:r>
            <w:r>
              <w:rPr>
                <w:lang w:bidi="fr-FR"/>
              </w:rPr>
              <w:t>A</w:t>
            </w:r>
            <w:r w:rsidRPr="00B326E6">
              <w:rPr>
                <w:lang w:bidi="fr-FR"/>
              </w:rPr>
              <w:t>S et de H</w:t>
            </w:r>
            <w:r>
              <w:rPr>
                <w:lang w:bidi="fr-FR"/>
              </w:rPr>
              <w:t>S</w:t>
            </w:r>
            <w:r w:rsidRPr="00B326E6">
              <w:rPr>
                <w:lang w:bidi="fr-FR"/>
              </w:rPr>
              <w:t xml:space="preserve"> peuvent être exacerbés en raison des déséquilibres de pouvoir inhérents aux interactions entre la population locale </w:t>
            </w:r>
            <w:r>
              <w:rPr>
                <w:lang w:bidi="fr-FR"/>
              </w:rPr>
              <w:t>avec</w:t>
            </w:r>
            <w:r w:rsidRPr="00B326E6">
              <w:rPr>
                <w:lang w:bidi="fr-FR"/>
              </w:rPr>
              <w:t xml:space="preserve"> </w:t>
            </w:r>
            <w:r>
              <w:rPr>
                <w:lang w:bidi="fr-FR"/>
              </w:rPr>
              <w:t>d</w:t>
            </w:r>
            <w:r w:rsidRPr="00B326E6">
              <w:rPr>
                <w:lang w:bidi="fr-FR"/>
              </w:rPr>
              <w:t xml:space="preserve">es hommes </w:t>
            </w:r>
            <w:r>
              <w:rPr>
                <w:lang w:bidi="fr-FR"/>
              </w:rPr>
              <w:t xml:space="preserve">travailleurs </w:t>
            </w:r>
            <w:r w:rsidRPr="00B326E6">
              <w:rPr>
                <w:lang w:bidi="fr-FR"/>
              </w:rPr>
              <w:t>non supervisés et mobiles qui sont déconnectés de leurs réseaux sociaux et qui peuvent avoir plus d'argent que la population locale</w:t>
            </w:r>
            <w:r>
              <w:rPr>
                <w:rStyle w:val="FootnoteReference"/>
                <w:lang w:bidi="fr-FR"/>
              </w:rPr>
              <w:footnoteReference w:id="41"/>
            </w:r>
            <w:r w:rsidRPr="00B326E6">
              <w:rPr>
                <w:lang w:bidi="fr-FR"/>
              </w:rPr>
              <w:t xml:space="preserve">. </w:t>
            </w:r>
            <w:r>
              <w:rPr>
                <w:lang w:bidi="fr-FR"/>
              </w:rPr>
              <w:t xml:space="preserve">Certaines constructions et/ou travaux de réhabilitation sont susceptibles de se réaliser dans les zones dans lesquelles se déplacent les communautés dans leurs activités quotidiennes. Ces éléments constituent des facteurs de risque </w:t>
            </w:r>
            <w:r>
              <w:rPr>
                <w:b/>
                <w:bCs/>
                <w:lang w:bidi="fr-FR"/>
              </w:rPr>
              <w:t xml:space="preserve">modéré </w:t>
            </w:r>
            <w:r>
              <w:rPr>
                <w:lang w:bidi="fr-FR"/>
              </w:rPr>
              <w:t>d’EAS</w:t>
            </w:r>
            <w:r w:rsidRPr="00B326E6">
              <w:rPr>
                <w:lang w:bidi="fr-FR"/>
              </w:rPr>
              <w:t xml:space="preserve"> </w:t>
            </w:r>
            <w:r>
              <w:rPr>
                <w:lang w:bidi="fr-FR"/>
              </w:rPr>
              <w:t xml:space="preserve">contre les </w:t>
            </w:r>
            <w:r w:rsidRPr="00B326E6">
              <w:rPr>
                <w:lang w:bidi="fr-FR"/>
              </w:rPr>
              <w:t xml:space="preserve">femmes et des filles des communautés environnantes et au </w:t>
            </w:r>
            <w:r>
              <w:rPr>
                <w:lang w:bidi="fr-FR"/>
              </w:rPr>
              <w:t>HS</w:t>
            </w:r>
            <w:r w:rsidRPr="00B326E6">
              <w:rPr>
                <w:lang w:bidi="fr-FR"/>
              </w:rPr>
              <w:t xml:space="preserve"> des femmes employées aux côtés des hommes.</w:t>
            </w:r>
            <w:r>
              <w:rPr>
                <w:lang w:bidi="fr-FR"/>
              </w:rPr>
              <w:t xml:space="preserve"> </w:t>
            </w:r>
          </w:p>
        </w:tc>
      </w:tr>
      <w:tr w:rsidR="00E02032" w:rsidRPr="00060154" w14:paraId="79D5DFED" w14:textId="77777777" w:rsidTr="00233C12">
        <w:tc>
          <w:tcPr>
            <w:tcW w:w="8702" w:type="dxa"/>
          </w:tcPr>
          <w:p w14:paraId="34A6B0B5" w14:textId="77777777" w:rsidR="00E02032" w:rsidRPr="00060154" w:rsidRDefault="00E02032" w:rsidP="00233C12">
            <w:pPr>
              <w:jc w:val="both"/>
              <w:rPr>
                <w:rFonts w:cstheme="minorHAnsi"/>
              </w:rPr>
            </w:pPr>
            <w:r w:rsidRPr="00060154">
              <w:rPr>
                <w:rFonts w:cstheme="minorHAnsi"/>
                <w:b/>
                <w:bCs/>
              </w:rPr>
              <w:lastRenderedPageBreak/>
              <w:t xml:space="preserve">Risques indirects de VBG, EAS et HS : </w:t>
            </w:r>
          </w:p>
        </w:tc>
      </w:tr>
      <w:tr w:rsidR="00E02032" w:rsidRPr="00060154" w14:paraId="1B2AD166" w14:textId="77777777" w:rsidTr="00233C12">
        <w:tc>
          <w:tcPr>
            <w:tcW w:w="8702" w:type="dxa"/>
          </w:tcPr>
          <w:p w14:paraId="1CFC6E93" w14:textId="77777777" w:rsidR="00E02032" w:rsidRPr="00CC42E5" w:rsidRDefault="00E02032" w:rsidP="009F39ED">
            <w:pPr>
              <w:pStyle w:val="ListParagraph"/>
              <w:numPr>
                <w:ilvl w:val="0"/>
                <w:numId w:val="28"/>
              </w:numPr>
              <w:spacing w:after="0" w:line="240" w:lineRule="auto"/>
              <w:ind w:left="241" w:hanging="241"/>
              <w:jc w:val="both"/>
              <w:rPr>
                <w:rFonts w:cstheme="minorHAnsi"/>
              </w:rPr>
            </w:pPr>
            <w:r>
              <w:rPr>
                <w:rFonts w:cstheme="minorHAnsi"/>
              </w:rPr>
              <w:t xml:space="preserve">Risques de générer de la violence à l’endroit des filles dont les familles reçoivent un appui financier pour la poursuite de leur éducation (violences physiques, émotionnelles et/ou psychologiques). Sans mesures d’accompagnement des ménages, des parents et des communautés visant à expliquer les objectifs de cette sous-composante du projet, les soutiens financiers et les attributions de bourses d’études pourraient générer des déséquilibres au sein des ménages spécifiquement dans les dynamiques et rôles de genre attribués aux filles au sein des ménages. Ces déséquilibres sont des facteurs aggravant de violences envers les filles, notamment des VBG et EAS liées aux transferts d’argent. </w:t>
            </w:r>
          </w:p>
        </w:tc>
      </w:tr>
      <w:tr w:rsidR="00E02032" w:rsidRPr="00060154" w14:paraId="7F2E0F14" w14:textId="77777777" w:rsidTr="00233C12">
        <w:tc>
          <w:tcPr>
            <w:tcW w:w="8702" w:type="dxa"/>
          </w:tcPr>
          <w:p w14:paraId="54B00148" w14:textId="63F78A82" w:rsidR="00E02032" w:rsidRPr="009F39ED" w:rsidRDefault="00E02032" w:rsidP="009F39ED">
            <w:pPr>
              <w:pStyle w:val="ListParagraph"/>
              <w:numPr>
                <w:ilvl w:val="0"/>
                <w:numId w:val="28"/>
              </w:numPr>
              <w:spacing w:after="0" w:line="240" w:lineRule="auto"/>
              <w:ind w:left="234" w:hanging="142"/>
              <w:rPr>
                <w:rFonts w:cstheme="minorHAnsi"/>
              </w:rPr>
            </w:pPr>
            <w:r w:rsidRPr="009F39ED">
              <w:rPr>
                <w:rFonts w:cstheme="minorHAnsi"/>
              </w:rPr>
              <w:t xml:space="preserve">Risques d’assister à des pratiques néfastes et dangereuses pour les filles et les adolescentes survivantes de VBG, liés à l’absence de connaissances et compétences sur les VBG et EAS des personnels des écoles et établissements scolaires </w:t>
            </w:r>
            <w:r w:rsidR="009F39ED">
              <w:rPr>
                <w:rFonts w:cstheme="minorHAnsi"/>
              </w:rPr>
              <w:t>et de protocoles de référencements des survivantes.</w:t>
            </w:r>
          </w:p>
        </w:tc>
      </w:tr>
      <w:tr w:rsidR="00E02032" w:rsidRPr="00060154" w14:paraId="5CA65BAF" w14:textId="77777777" w:rsidTr="00233C12">
        <w:tc>
          <w:tcPr>
            <w:tcW w:w="8702" w:type="dxa"/>
          </w:tcPr>
          <w:p w14:paraId="25056FFF" w14:textId="77777777" w:rsidR="00E02032" w:rsidRPr="00723CDC" w:rsidRDefault="00E02032" w:rsidP="00E02032">
            <w:pPr>
              <w:numPr>
                <w:ilvl w:val="1"/>
                <w:numId w:val="6"/>
              </w:numPr>
              <w:spacing w:after="0" w:line="240" w:lineRule="auto"/>
              <w:ind w:left="851" w:hanging="426"/>
              <w:rPr>
                <w:rFonts w:cstheme="minorHAnsi"/>
              </w:rPr>
            </w:pPr>
            <w:r w:rsidRPr="00723CDC">
              <w:rPr>
                <w:rFonts w:cstheme="minorHAnsi"/>
              </w:rPr>
              <w:t xml:space="preserve">Dans la mise en œuvre d’une approche centrée sur les besoins des survivantes </w:t>
            </w:r>
          </w:p>
        </w:tc>
      </w:tr>
      <w:tr w:rsidR="00E02032" w:rsidRPr="00060154" w14:paraId="3954B509" w14:textId="77777777" w:rsidTr="00233C12">
        <w:tc>
          <w:tcPr>
            <w:tcW w:w="8702" w:type="dxa"/>
          </w:tcPr>
          <w:p w14:paraId="75181E70" w14:textId="77777777" w:rsidR="00E02032" w:rsidRPr="00723CDC" w:rsidRDefault="00E02032" w:rsidP="00E02032">
            <w:pPr>
              <w:numPr>
                <w:ilvl w:val="1"/>
                <w:numId w:val="6"/>
              </w:numPr>
              <w:spacing w:after="0" w:line="240" w:lineRule="auto"/>
              <w:ind w:left="851" w:hanging="426"/>
              <w:rPr>
                <w:rFonts w:cstheme="minorHAnsi"/>
              </w:rPr>
            </w:pPr>
            <w:r w:rsidRPr="00723CDC">
              <w:rPr>
                <w:rFonts w:cstheme="minorHAnsi"/>
              </w:rPr>
              <w:t>Dans la collecte et la protection des données sensibles sur les cas de VBG </w:t>
            </w:r>
          </w:p>
        </w:tc>
      </w:tr>
      <w:tr w:rsidR="00E02032" w:rsidRPr="00060154" w14:paraId="211CFCCC" w14:textId="77777777" w:rsidTr="00233C12">
        <w:tc>
          <w:tcPr>
            <w:tcW w:w="8702" w:type="dxa"/>
          </w:tcPr>
          <w:p w14:paraId="01B1E7F9" w14:textId="77777777" w:rsidR="00E02032" w:rsidRPr="00723CDC" w:rsidRDefault="00E02032" w:rsidP="00E02032">
            <w:pPr>
              <w:numPr>
                <w:ilvl w:val="1"/>
                <w:numId w:val="6"/>
              </w:numPr>
              <w:spacing w:after="0" w:line="240" w:lineRule="auto"/>
              <w:ind w:left="851" w:hanging="426"/>
              <w:rPr>
                <w:rFonts w:cstheme="minorHAnsi"/>
              </w:rPr>
            </w:pPr>
            <w:r w:rsidRPr="00723CDC">
              <w:rPr>
                <w:rFonts w:cstheme="minorHAnsi"/>
              </w:rPr>
              <w:t xml:space="preserve">Dans l’identification, la détection et la prise en charge des filles survivantes de VBG nécessitant une approche centrée sur les besoins des survivantes dans le respect des principes /pratiques propres aux enfants survivantes de VBG. </w:t>
            </w:r>
          </w:p>
        </w:tc>
      </w:tr>
      <w:tr w:rsidR="00E02032" w:rsidRPr="00060154" w14:paraId="5226364D" w14:textId="77777777" w:rsidTr="00233C12">
        <w:tc>
          <w:tcPr>
            <w:tcW w:w="8702" w:type="dxa"/>
          </w:tcPr>
          <w:p w14:paraId="701AE092" w14:textId="77777777" w:rsidR="00E02032" w:rsidRPr="00723CDC" w:rsidRDefault="00E02032" w:rsidP="00E02032">
            <w:pPr>
              <w:numPr>
                <w:ilvl w:val="1"/>
                <w:numId w:val="6"/>
              </w:numPr>
              <w:spacing w:after="0" w:line="240" w:lineRule="auto"/>
              <w:ind w:left="851" w:hanging="426"/>
              <w:rPr>
                <w:rFonts w:cstheme="minorHAnsi"/>
              </w:rPr>
            </w:pPr>
            <w:r w:rsidRPr="00723CDC">
              <w:rPr>
                <w:rFonts w:cstheme="minorHAnsi"/>
              </w:rPr>
              <w:t xml:space="preserve">Dans l’orientation donnée aux survivantes dans un contexte centrafricain où les normes de genre et les inégalités de genre qui en découlent alimentent les VBG (ex. : justification de la violence domestique, des mariages forcés, des MFG, etc.). </w:t>
            </w:r>
          </w:p>
        </w:tc>
      </w:tr>
      <w:tr w:rsidR="00E02032" w:rsidRPr="00060154" w14:paraId="13250864" w14:textId="77777777" w:rsidTr="00233C12">
        <w:tc>
          <w:tcPr>
            <w:tcW w:w="8702" w:type="dxa"/>
          </w:tcPr>
          <w:p w14:paraId="1EFE0C27" w14:textId="77777777" w:rsidR="00E02032" w:rsidRPr="00060154" w:rsidRDefault="00E02032" w:rsidP="00E02032">
            <w:pPr>
              <w:numPr>
                <w:ilvl w:val="1"/>
                <w:numId w:val="6"/>
              </w:numPr>
              <w:spacing w:after="0" w:line="240" w:lineRule="auto"/>
              <w:ind w:left="851" w:hanging="426"/>
              <w:rPr>
                <w:rFonts w:cstheme="minorHAnsi"/>
              </w:rPr>
            </w:pPr>
            <w:r w:rsidRPr="00060154">
              <w:rPr>
                <w:rFonts w:cstheme="minorHAnsi"/>
              </w:rPr>
              <w:t xml:space="preserve">Risques d’assister à des pratiques néfastes et dangereuses pour les </w:t>
            </w:r>
            <w:r>
              <w:rPr>
                <w:rFonts w:cstheme="minorHAnsi"/>
              </w:rPr>
              <w:t xml:space="preserve">filles </w:t>
            </w:r>
            <w:r w:rsidRPr="00060154">
              <w:rPr>
                <w:rFonts w:cstheme="minorHAnsi"/>
              </w:rPr>
              <w:t>survivantes</w:t>
            </w:r>
            <w:r>
              <w:rPr>
                <w:rFonts w:cstheme="minorHAnsi"/>
              </w:rPr>
              <w:t xml:space="preserve"> de VBG</w:t>
            </w:r>
            <w:r w:rsidRPr="00060154">
              <w:rPr>
                <w:rFonts w:cstheme="minorHAnsi"/>
              </w:rPr>
              <w:t xml:space="preserve">, liés à l’absence de connaissances et compétences sur les VBG et EAS des personnels </w:t>
            </w:r>
            <w:r>
              <w:rPr>
                <w:rFonts w:cstheme="minorHAnsi"/>
              </w:rPr>
              <w:t xml:space="preserve">des écoles et établissements scolaires </w:t>
            </w:r>
          </w:p>
        </w:tc>
      </w:tr>
    </w:tbl>
    <w:p w14:paraId="0EBF9E1A" w14:textId="2A8989F3" w:rsidR="00E02032" w:rsidRPr="00B4288A" w:rsidRDefault="00E02032" w:rsidP="00E02032">
      <w:pPr>
        <w:sectPr w:rsidR="00E02032" w:rsidRPr="00B4288A" w:rsidSect="00CC42E5">
          <w:footerReference w:type="default" r:id="rId17"/>
          <w:type w:val="continuous"/>
          <w:pgSz w:w="11906" w:h="16838"/>
          <w:pgMar w:top="1417" w:right="1417" w:bottom="1417" w:left="1417" w:header="708" w:footer="708" w:gutter="0"/>
          <w:cols w:space="708"/>
          <w:titlePg/>
          <w:docGrid w:linePitch="360"/>
        </w:sectPr>
      </w:pPr>
    </w:p>
    <w:p w14:paraId="682100A4" w14:textId="77777777" w:rsidR="00E02032" w:rsidRDefault="00E02032" w:rsidP="00E02032">
      <w:pPr>
        <w:pStyle w:val="Heading3"/>
        <w:rPr>
          <w:rFonts w:asciiTheme="minorHAnsi" w:hAnsiTheme="minorHAnsi" w:cstheme="minorHAnsi"/>
        </w:rPr>
      </w:pPr>
    </w:p>
    <w:p w14:paraId="5522926E" w14:textId="77777777" w:rsidR="00E02032" w:rsidRPr="00AB1CF4" w:rsidRDefault="00E02032" w:rsidP="00E02032">
      <w:pPr>
        <w:pStyle w:val="Heading1"/>
      </w:pPr>
      <w:bookmarkStart w:id="28" w:name="_Toc68269624"/>
      <w:r>
        <w:t xml:space="preserve">6. </w:t>
      </w:r>
      <w:r w:rsidRPr="00AB1CF4">
        <w:t xml:space="preserve"> </w:t>
      </w:r>
      <w:r>
        <w:t>Brève présentation</w:t>
      </w:r>
      <w:r w:rsidRPr="00AB1CF4">
        <w:t xml:space="preserve"> des services existants et des principales lacunes en matière de </w:t>
      </w:r>
      <w:r>
        <w:t xml:space="preserve">prévention et réponse aux </w:t>
      </w:r>
      <w:r w:rsidRPr="00AB1CF4">
        <w:t>VBG</w:t>
      </w:r>
      <w:r>
        <w:t>, EAS et HS</w:t>
      </w:r>
      <w:bookmarkEnd w:id="28"/>
      <w:r w:rsidRPr="00AB1CF4">
        <w:t xml:space="preserve"> </w:t>
      </w:r>
    </w:p>
    <w:p w14:paraId="2A5873A8" w14:textId="77777777" w:rsidR="00E02032" w:rsidRPr="00AB1CF4" w:rsidRDefault="00E02032" w:rsidP="00E02032">
      <w:pPr>
        <w:jc w:val="both"/>
        <w:rPr>
          <w:rFonts w:cstheme="minorHAnsi"/>
        </w:rPr>
      </w:pPr>
    </w:p>
    <w:p w14:paraId="1E59CAE0" w14:textId="77777777" w:rsidR="00E02032" w:rsidRPr="005D2DE7" w:rsidRDefault="00E02032" w:rsidP="00E02032">
      <w:pPr>
        <w:jc w:val="both"/>
        <w:rPr>
          <w:rFonts w:cstheme="minorHAnsi"/>
          <w:b/>
        </w:rPr>
      </w:pPr>
      <w:r w:rsidRPr="00AB1CF4">
        <w:rPr>
          <w:rFonts w:cstheme="minorHAnsi"/>
        </w:rPr>
        <w:t xml:space="preserve">Bien qu’il existe en </w:t>
      </w:r>
      <w:r>
        <w:rPr>
          <w:rFonts w:cstheme="minorHAnsi"/>
        </w:rPr>
        <w:t xml:space="preserve">République centrafricaine </w:t>
      </w:r>
      <w:r w:rsidRPr="00AB1CF4">
        <w:rPr>
          <w:rFonts w:cstheme="minorHAnsi"/>
        </w:rPr>
        <w:t xml:space="preserve">une stratégie nationale de lutte contre les </w:t>
      </w:r>
      <w:r>
        <w:rPr>
          <w:rFonts w:cstheme="minorHAnsi"/>
        </w:rPr>
        <w:t>VBG</w:t>
      </w:r>
      <w:r w:rsidRPr="00AB1CF4">
        <w:rPr>
          <w:rFonts w:cstheme="minorHAnsi"/>
        </w:rPr>
        <w:t xml:space="preserve">, la gestion </w:t>
      </w:r>
      <w:r>
        <w:rPr>
          <w:rFonts w:cstheme="minorHAnsi"/>
        </w:rPr>
        <w:t>des cas et des incidents s’opère</w:t>
      </w:r>
      <w:r w:rsidRPr="00AB1CF4">
        <w:rPr>
          <w:rFonts w:cstheme="minorHAnsi"/>
        </w:rPr>
        <w:t xml:space="preserve"> </w:t>
      </w:r>
      <w:r>
        <w:rPr>
          <w:rFonts w:cstheme="minorHAnsi"/>
        </w:rPr>
        <w:t xml:space="preserve">souvent </w:t>
      </w:r>
      <w:r w:rsidRPr="00AB1CF4">
        <w:rPr>
          <w:rFonts w:cstheme="minorHAnsi"/>
        </w:rPr>
        <w:t xml:space="preserve">aux cas par cas, </w:t>
      </w:r>
      <w:r>
        <w:rPr>
          <w:rFonts w:cstheme="minorHAnsi"/>
        </w:rPr>
        <w:t>souvent par le biais d’</w:t>
      </w:r>
      <w:r w:rsidRPr="00AB1CF4">
        <w:rPr>
          <w:rFonts w:cstheme="minorHAnsi"/>
        </w:rPr>
        <w:t>une approche communautaire (</w:t>
      </w:r>
      <w:r>
        <w:rPr>
          <w:rFonts w:cstheme="minorHAnsi"/>
        </w:rPr>
        <w:t>ch</w:t>
      </w:r>
      <w:r w:rsidRPr="00AB1CF4">
        <w:rPr>
          <w:rFonts w:cstheme="minorHAnsi"/>
        </w:rPr>
        <w:t xml:space="preserve">efs de villages, chefs religieux, ONG locales pour la sensibilisation et l’orientation). </w:t>
      </w:r>
      <w:r>
        <w:rPr>
          <w:rFonts w:cstheme="minorHAnsi"/>
        </w:rPr>
        <w:t>L</w:t>
      </w:r>
      <w:r w:rsidRPr="00AB1CF4">
        <w:rPr>
          <w:rFonts w:cstheme="minorHAnsi"/>
        </w:rPr>
        <w:t>e</w:t>
      </w:r>
      <w:r>
        <w:rPr>
          <w:rFonts w:cstheme="minorHAnsi"/>
        </w:rPr>
        <w:t xml:space="preserve"> g</w:t>
      </w:r>
      <w:r w:rsidRPr="00AB1CF4">
        <w:rPr>
          <w:rFonts w:cstheme="minorHAnsi"/>
        </w:rPr>
        <w:t xml:space="preserve">ouvernement centrafricain a mis en place récemment des comités préfectoraux et sous préfectoraux de lutte contre la </w:t>
      </w:r>
      <w:r>
        <w:rPr>
          <w:rFonts w:cstheme="minorHAnsi"/>
        </w:rPr>
        <w:t>VBG. Il œuvre g</w:t>
      </w:r>
      <w:r w:rsidRPr="00AB1CF4">
        <w:rPr>
          <w:rFonts w:cstheme="minorHAnsi"/>
        </w:rPr>
        <w:t>râce aux efforts conjugués du FNUAP</w:t>
      </w:r>
      <w:r>
        <w:rPr>
          <w:rFonts w:cstheme="minorHAnsi"/>
        </w:rPr>
        <w:t>,</w:t>
      </w:r>
      <w:r w:rsidRPr="00AB1CF4">
        <w:rPr>
          <w:rFonts w:cstheme="minorHAnsi"/>
        </w:rPr>
        <w:t xml:space="preserve"> qui assure la coordination et la gestion des données</w:t>
      </w:r>
      <w:r>
        <w:rPr>
          <w:rFonts w:cstheme="minorHAnsi"/>
        </w:rPr>
        <w:t xml:space="preserve"> et des activités de prévention et de réponse</w:t>
      </w:r>
      <w:r w:rsidRPr="00AB1CF4">
        <w:rPr>
          <w:rFonts w:cstheme="minorHAnsi"/>
        </w:rPr>
        <w:t xml:space="preserve"> d</w:t>
      </w:r>
      <w:r>
        <w:rPr>
          <w:rFonts w:cstheme="minorHAnsi"/>
        </w:rPr>
        <w:t>es acteurs mobilisés dans ce</w:t>
      </w:r>
      <w:r w:rsidRPr="00AB1CF4">
        <w:rPr>
          <w:rFonts w:cstheme="minorHAnsi"/>
        </w:rPr>
        <w:t xml:space="preserve"> secteur</w:t>
      </w:r>
      <w:r>
        <w:rPr>
          <w:rFonts w:cstheme="minorHAnsi"/>
        </w:rPr>
        <w:t xml:space="preserve">, </w:t>
      </w:r>
      <w:r w:rsidRPr="00AB1CF4">
        <w:rPr>
          <w:rFonts w:cstheme="minorHAnsi"/>
        </w:rPr>
        <w:t xml:space="preserve">la Mission des Nations Unies en </w:t>
      </w:r>
      <w:r>
        <w:rPr>
          <w:rFonts w:cstheme="minorHAnsi"/>
        </w:rPr>
        <w:t>République centrafricaine</w:t>
      </w:r>
      <w:r w:rsidRPr="00AB1CF4">
        <w:rPr>
          <w:rFonts w:cstheme="minorHAnsi"/>
        </w:rPr>
        <w:t xml:space="preserve"> et d’autres acteurs humanitaires </w:t>
      </w:r>
      <w:r>
        <w:rPr>
          <w:rFonts w:cstheme="minorHAnsi"/>
        </w:rPr>
        <w:t xml:space="preserve">internationaux et nationaux (UNICEF, CICR, </w:t>
      </w:r>
      <w:r w:rsidRPr="00AB1CF4">
        <w:rPr>
          <w:rFonts w:cstheme="minorHAnsi"/>
        </w:rPr>
        <w:t>Plan International, IRC</w:t>
      </w:r>
      <w:r>
        <w:rPr>
          <w:rFonts w:cstheme="minorHAnsi"/>
        </w:rPr>
        <w:t xml:space="preserve">, </w:t>
      </w:r>
      <w:r w:rsidRPr="00AB1CF4">
        <w:rPr>
          <w:rFonts w:cstheme="minorHAnsi"/>
        </w:rPr>
        <w:t>Interso</w:t>
      </w:r>
      <w:r>
        <w:rPr>
          <w:rFonts w:cstheme="minorHAnsi"/>
        </w:rPr>
        <w:t xml:space="preserve">s, etc.) </w:t>
      </w:r>
      <w:r w:rsidRPr="00AB1CF4">
        <w:rPr>
          <w:rFonts w:cstheme="minorHAnsi"/>
        </w:rPr>
        <w:t xml:space="preserve"> </w:t>
      </w:r>
      <w:r>
        <w:rPr>
          <w:rFonts w:cstheme="minorHAnsi"/>
        </w:rPr>
        <w:t xml:space="preserve">à améliorer la prévention et la réponse aux VBG, EAS et HS. </w:t>
      </w:r>
      <w:r w:rsidRPr="00AB1CF4">
        <w:rPr>
          <w:rFonts w:cstheme="minorHAnsi"/>
        </w:rPr>
        <w:t xml:space="preserve">Le personnel de prise en charge </w:t>
      </w:r>
      <w:r>
        <w:rPr>
          <w:rFonts w:cstheme="minorHAnsi"/>
        </w:rPr>
        <w:t xml:space="preserve">des survivantes de </w:t>
      </w:r>
      <w:r w:rsidRPr="00AB1CF4">
        <w:rPr>
          <w:rFonts w:cstheme="minorHAnsi"/>
        </w:rPr>
        <w:t xml:space="preserve">la plupart des organismes internationaux sont formés sur l’approche centrée sur les </w:t>
      </w:r>
      <w:r>
        <w:rPr>
          <w:rFonts w:cstheme="minorHAnsi"/>
        </w:rPr>
        <w:t>survivantes</w:t>
      </w:r>
      <w:r w:rsidRPr="00AB1CF4">
        <w:rPr>
          <w:rFonts w:cstheme="minorHAnsi"/>
        </w:rPr>
        <w:t xml:space="preserve"> grâce aux formations dispensées par </w:t>
      </w:r>
      <w:r>
        <w:rPr>
          <w:rFonts w:cstheme="minorHAnsi"/>
        </w:rPr>
        <w:t xml:space="preserve">les organisations de la coopération multilatérale. </w:t>
      </w:r>
    </w:p>
    <w:p w14:paraId="75C8BADB" w14:textId="77777777" w:rsidR="00E02032" w:rsidRDefault="00E02032" w:rsidP="00E02032">
      <w:pPr>
        <w:spacing w:after="120" w:line="240" w:lineRule="auto"/>
        <w:jc w:val="both"/>
        <w:rPr>
          <w:rFonts w:cstheme="minorHAnsi"/>
        </w:rPr>
      </w:pPr>
      <w:r w:rsidRPr="00AB1CF4">
        <w:rPr>
          <w:rFonts w:cstheme="minorHAnsi"/>
          <w:b/>
          <w:bCs/>
        </w:rPr>
        <w:t>Les difficultés et défis principaux sont l’insécurité, l’inexistence des espaces et abris s</w:t>
      </w:r>
      <w:r>
        <w:rPr>
          <w:rFonts w:cstheme="minorHAnsi"/>
          <w:b/>
          <w:bCs/>
        </w:rPr>
        <w:t>û</w:t>
      </w:r>
      <w:r w:rsidRPr="00AB1CF4">
        <w:rPr>
          <w:rFonts w:cstheme="minorHAnsi"/>
          <w:b/>
          <w:bCs/>
        </w:rPr>
        <w:t>rs pour la sécurité immédiate des survivantes et des activités pour la promotion de l’autonomisation économique des survivant</w:t>
      </w:r>
      <w:r>
        <w:rPr>
          <w:rFonts w:cstheme="minorHAnsi"/>
          <w:b/>
          <w:bCs/>
        </w:rPr>
        <w:t>e</w:t>
      </w:r>
      <w:r w:rsidRPr="00AB1CF4">
        <w:rPr>
          <w:rFonts w:cstheme="minorHAnsi"/>
          <w:b/>
          <w:bCs/>
        </w:rPr>
        <w:t xml:space="preserve">s, la rareté des services de gestion des cas et de la gestion clinique des cas de viols, </w:t>
      </w:r>
      <w:r>
        <w:rPr>
          <w:rFonts w:cstheme="minorHAnsi"/>
          <w:b/>
          <w:bCs/>
        </w:rPr>
        <w:t xml:space="preserve">et </w:t>
      </w:r>
      <w:r w:rsidRPr="00AB1CF4">
        <w:rPr>
          <w:rFonts w:cstheme="minorHAnsi"/>
          <w:b/>
          <w:bCs/>
        </w:rPr>
        <w:t xml:space="preserve">la prise en charge </w:t>
      </w:r>
      <w:r>
        <w:rPr>
          <w:rFonts w:cstheme="minorHAnsi"/>
          <w:b/>
          <w:bCs/>
        </w:rPr>
        <w:t xml:space="preserve">très </w:t>
      </w:r>
      <w:r w:rsidRPr="00AB1CF4">
        <w:rPr>
          <w:rFonts w:cstheme="minorHAnsi"/>
          <w:b/>
          <w:bCs/>
        </w:rPr>
        <w:t>limitée sur le plan judiciaire.</w:t>
      </w:r>
      <w:r w:rsidRPr="00AB1CF4">
        <w:rPr>
          <w:rFonts w:cstheme="minorHAnsi"/>
        </w:rPr>
        <w:t xml:space="preserve"> </w:t>
      </w:r>
    </w:p>
    <w:p w14:paraId="30B54857" w14:textId="77777777" w:rsidR="00E02032" w:rsidRDefault="00E02032" w:rsidP="00E02032">
      <w:pPr>
        <w:spacing w:after="120" w:line="240" w:lineRule="auto"/>
        <w:jc w:val="both"/>
      </w:pPr>
      <w:r>
        <w:rPr>
          <w:rFonts w:cstheme="minorHAnsi"/>
        </w:rPr>
        <w:t xml:space="preserve">Les activités </w:t>
      </w:r>
      <w:r>
        <w:t>de sensibilisation ont recours à divers supports de communication telles que les émissions radio-télévisées, les affiches et dépliants, tableaux et boîtes à images, les théâtres et sketchs, la cinématographie, etc. Les domaines couverts sont principalement l’information sur les conséquences sanitaires, l’information sur les recours à utiliser notamment la prise en charge médicale, judiciaire, psycho-sociale, la sensibilisation des groupes à risque, etc. Les champs d’intervention des prestataires de service dans le domaine de la prévention sont très limités par manque de ressources suffisantes pour la réalisation des activités.</w:t>
      </w:r>
    </w:p>
    <w:p w14:paraId="35A4F0EC" w14:textId="77777777" w:rsidR="00E02032" w:rsidRPr="00AB1CF4" w:rsidRDefault="00E02032" w:rsidP="00E02032">
      <w:pPr>
        <w:jc w:val="both"/>
        <w:rPr>
          <w:rFonts w:cstheme="minorHAnsi"/>
        </w:rPr>
      </w:pPr>
      <w:r w:rsidRPr="00AB1CF4">
        <w:rPr>
          <w:rFonts w:cstheme="minorHAnsi"/>
          <w:b/>
          <w:bCs/>
        </w:rPr>
        <w:t xml:space="preserve">Une prise en charge holistique des besoins en VBG n’est pas encore </w:t>
      </w:r>
      <w:r>
        <w:rPr>
          <w:rFonts w:cstheme="minorHAnsi"/>
          <w:b/>
          <w:bCs/>
        </w:rPr>
        <w:t xml:space="preserve">instaurée à l’échelle de l’ensemble des régions du pays. </w:t>
      </w:r>
    </w:p>
    <w:p w14:paraId="13BB53DF" w14:textId="77777777" w:rsidR="00E02032" w:rsidRPr="00AB1CF4" w:rsidRDefault="00E02032" w:rsidP="00E02032">
      <w:pPr>
        <w:jc w:val="both"/>
        <w:rPr>
          <w:rFonts w:cstheme="minorHAnsi"/>
        </w:rPr>
      </w:pPr>
      <w:r>
        <w:rPr>
          <w:rFonts w:cstheme="minorHAnsi"/>
        </w:rPr>
        <w:t>En</w:t>
      </w:r>
      <w:r w:rsidRPr="00AB1CF4">
        <w:rPr>
          <w:rFonts w:cstheme="minorHAnsi"/>
        </w:rPr>
        <w:t xml:space="preserve"> raison de l’insécurité</w:t>
      </w:r>
      <w:r>
        <w:rPr>
          <w:rFonts w:cstheme="minorHAnsi"/>
        </w:rPr>
        <w:t xml:space="preserve"> généralisée qui caractérise la République centrafricaine</w:t>
      </w:r>
      <w:r w:rsidRPr="00AB1CF4">
        <w:rPr>
          <w:rFonts w:cstheme="minorHAnsi"/>
        </w:rPr>
        <w:t xml:space="preserve">, du contexte volatile expliqué par la présence des groupes armés et la non-instauration de l’autorité de l’État dans la plupart des villes du pays, il existe une disparité des services de prise en charge entre la ville de Bangui et les autres villes telles que Bambari, Kaga Bandoro, Bangassou, Paoua, etc. </w:t>
      </w:r>
    </w:p>
    <w:p w14:paraId="7E990A14" w14:textId="77777777" w:rsidR="003361C6" w:rsidRDefault="00E02032" w:rsidP="00E02032">
      <w:pPr>
        <w:pStyle w:val="Heading1"/>
        <w:rPr>
          <w:b/>
          <w:bCs/>
          <w:i/>
          <w:iCs/>
        </w:rPr>
      </w:pPr>
      <w:bookmarkStart w:id="29" w:name="_Toc68269625"/>
      <w:r>
        <w:t>7</w:t>
      </w:r>
      <w:r w:rsidRPr="00AB1CF4">
        <w:t>. Plan d’Action pour l’atténuation des risques de VBG, EAS et HS</w:t>
      </w:r>
      <w:bookmarkEnd w:id="29"/>
      <w:r w:rsidRPr="003361C6">
        <w:rPr>
          <w:b/>
          <w:bCs/>
          <w:i/>
          <w:iCs/>
        </w:rPr>
        <w:t xml:space="preserve"> </w:t>
      </w:r>
    </w:p>
    <w:p w14:paraId="148D4617" w14:textId="4B4DB156" w:rsidR="00E02032" w:rsidRPr="00AB1CF4" w:rsidRDefault="00AB66D0" w:rsidP="00E02032">
      <w:pPr>
        <w:pStyle w:val="Heading1"/>
      </w:pPr>
      <w:r w:rsidRPr="003361C6">
        <w:rPr>
          <w:b/>
          <w:bCs/>
          <w:i/>
          <w:iCs/>
        </w:rPr>
        <w:t>(Voir Details en Annexe</w:t>
      </w:r>
      <w:r w:rsidR="003361C6" w:rsidRPr="003361C6">
        <w:rPr>
          <w:b/>
          <w:bCs/>
          <w:i/>
          <w:iCs/>
        </w:rPr>
        <w:t xml:space="preserve"> dans les tableaux)</w:t>
      </w:r>
    </w:p>
    <w:p w14:paraId="0AC69D0D" w14:textId="77777777" w:rsidR="00E02032" w:rsidRDefault="00E02032" w:rsidP="00E02032">
      <w:pPr>
        <w:jc w:val="both"/>
        <w:rPr>
          <w:rFonts w:cstheme="minorHAnsi"/>
        </w:rPr>
      </w:pPr>
    </w:p>
    <w:p w14:paraId="0083B426" w14:textId="77777777" w:rsidR="00E02032" w:rsidRPr="00072F53" w:rsidRDefault="00E02032" w:rsidP="00E02032">
      <w:pPr>
        <w:pStyle w:val="NoSpacing"/>
        <w:jc w:val="both"/>
        <w:rPr>
          <w:rFonts w:cstheme="minorHAnsi"/>
        </w:rPr>
      </w:pPr>
      <w:r w:rsidRPr="00072F53">
        <w:rPr>
          <w:rFonts w:cstheme="minorHAnsi"/>
        </w:rPr>
        <w:t xml:space="preserve">Il est essentiel de noter qu'«une réponse adéquate à l'EAS /HS dépend de la capacité du projet à fournir un accès à des services sûrs et éthiques pour les survivants. Les prestataires de services de VBG sont </w:t>
      </w:r>
      <w:r w:rsidRPr="00072F53">
        <w:rPr>
          <w:rFonts w:cstheme="minorHAnsi"/>
        </w:rPr>
        <w:lastRenderedPageBreak/>
        <w:t>essentiels non seulement pour soutenir le projet dans la résolution de tout cas d'EAS/HS qui pourrait survenir, mais aussi pour aider le projet à prévenir de manière proactive les incidences d'EAS/HS»</w:t>
      </w:r>
      <w:r w:rsidRPr="00072F53">
        <w:rPr>
          <w:rStyle w:val="FootnoteReference"/>
          <w:rFonts w:cstheme="minorHAnsi"/>
        </w:rPr>
        <w:footnoteReference w:id="42"/>
      </w:r>
      <w:r w:rsidRPr="00072F53">
        <w:rPr>
          <w:rFonts w:cstheme="minorHAnsi"/>
        </w:rPr>
        <w:t>.</w:t>
      </w:r>
    </w:p>
    <w:p w14:paraId="57A2C0AA" w14:textId="77777777" w:rsidR="00E02032" w:rsidRPr="00072F53" w:rsidRDefault="00E02032" w:rsidP="00E02032">
      <w:pPr>
        <w:pStyle w:val="NoSpacing"/>
        <w:jc w:val="both"/>
        <w:rPr>
          <w:rFonts w:cstheme="minorHAnsi"/>
        </w:rPr>
      </w:pPr>
    </w:p>
    <w:p w14:paraId="19C60FB4" w14:textId="77777777" w:rsidR="00E02032" w:rsidRPr="00072F53" w:rsidRDefault="00E02032" w:rsidP="00E02032">
      <w:pPr>
        <w:pStyle w:val="NoSpacing"/>
        <w:jc w:val="both"/>
        <w:rPr>
          <w:rFonts w:cstheme="minorHAnsi"/>
        </w:rPr>
      </w:pPr>
      <w:r w:rsidRPr="00072F53">
        <w:rPr>
          <w:rFonts w:cstheme="minorHAnsi"/>
        </w:rPr>
        <w:t xml:space="preserve">Les capacités à fournir un accès à des services sûrs et éthiques aux survivants étant limitées en République centrafricaine, il est recommandé, en synergie avec les activités prévues par les projets SENI et PAPSE II de renforcer la prévention et la réponse à la VBG, EAS et HS. </w:t>
      </w:r>
    </w:p>
    <w:p w14:paraId="5E553871" w14:textId="77777777" w:rsidR="00E02032" w:rsidRPr="00072F53" w:rsidRDefault="00E02032" w:rsidP="00E02032">
      <w:pPr>
        <w:pStyle w:val="NoSpacing"/>
        <w:jc w:val="both"/>
        <w:rPr>
          <w:rFonts w:cstheme="minorHAnsi"/>
        </w:rPr>
      </w:pPr>
    </w:p>
    <w:p w14:paraId="06632EE8" w14:textId="77777777" w:rsidR="00E02032" w:rsidRPr="00072F53" w:rsidRDefault="00E02032" w:rsidP="00E02032">
      <w:pPr>
        <w:pStyle w:val="NoSpacing"/>
        <w:jc w:val="both"/>
        <w:rPr>
          <w:rFonts w:cstheme="minorHAnsi"/>
        </w:rPr>
      </w:pPr>
      <w:r w:rsidRPr="00072F53">
        <w:rPr>
          <w:rFonts w:cstheme="minorHAnsi"/>
        </w:rPr>
        <w:t>Pour le projet Maïngo cela comprendrait:</w:t>
      </w:r>
    </w:p>
    <w:p w14:paraId="260B2451" w14:textId="77777777" w:rsidR="00E02032" w:rsidRPr="00072F53" w:rsidRDefault="00E02032" w:rsidP="00E02032">
      <w:pPr>
        <w:pStyle w:val="NoSpacing"/>
        <w:jc w:val="both"/>
        <w:rPr>
          <w:rFonts w:cstheme="minorHAnsi"/>
        </w:rPr>
      </w:pPr>
    </w:p>
    <w:p w14:paraId="147D0D72" w14:textId="77777777" w:rsidR="00E02032" w:rsidRPr="00072F53" w:rsidRDefault="00E02032" w:rsidP="00E02032">
      <w:pPr>
        <w:pStyle w:val="NoSpacing"/>
        <w:numPr>
          <w:ilvl w:val="0"/>
          <w:numId w:val="25"/>
        </w:numPr>
        <w:jc w:val="both"/>
        <w:rPr>
          <w:rFonts w:cstheme="minorHAnsi"/>
        </w:rPr>
      </w:pPr>
      <w:r w:rsidRPr="00360E08">
        <w:rPr>
          <w:rFonts w:cstheme="minorHAnsi"/>
          <w:b/>
          <w:bCs/>
        </w:rPr>
        <w:t>Développer les capacités des «espaces sûrs»</w:t>
      </w:r>
      <w:r w:rsidRPr="00072F53">
        <w:rPr>
          <w:rFonts w:cstheme="minorHAnsi"/>
        </w:rPr>
        <w:t xml:space="preserve"> (y compris l'identification des survivants de la VBG, l'approche centrée sur les survivants et d'autres principes directeurs clés, le soutien de première ligne pour répondre aux besoins émotionnels de base, la prise en charge des enfants survivants d'abus sexuels, la gestion des cas de VBG, le soutien psychosocial se concentrant sur la guérison - le rétablissement - l'autonomisation, les services communs pour les survivants de la VBG, les voies de référence VBG, les références sûres et éthiques, etc.).</w:t>
      </w:r>
    </w:p>
    <w:p w14:paraId="1C7995F9" w14:textId="77777777" w:rsidR="00E02032" w:rsidRPr="00072F53" w:rsidRDefault="00E02032" w:rsidP="00E02032">
      <w:pPr>
        <w:pStyle w:val="NoSpacing"/>
        <w:ind w:left="720"/>
        <w:jc w:val="both"/>
        <w:rPr>
          <w:rFonts w:cstheme="minorHAnsi"/>
        </w:rPr>
      </w:pPr>
    </w:p>
    <w:p w14:paraId="7F7B36D6" w14:textId="77777777" w:rsidR="00E02032" w:rsidRPr="00072F53" w:rsidRDefault="00E02032" w:rsidP="00E02032">
      <w:pPr>
        <w:pStyle w:val="NoSpacing"/>
        <w:numPr>
          <w:ilvl w:val="0"/>
          <w:numId w:val="25"/>
        </w:numPr>
        <w:jc w:val="both"/>
        <w:rPr>
          <w:rFonts w:cstheme="minorHAnsi"/>
        </w:rPr>
      </w:pPr>
      <w:r w:rsidRPr="00360E08">
        <w:rPr>
          <w:rFonts w:cstheme="minorHAnsi"/>
          <w:b/>
          <w:bCs/>
        </w:rPr>
        <w:t>Renforcer les capacités du secteur de la santé avec des interventions stratégiques à tous les niveaux</w:t>
      </w:r>
      <w:r w:rsidRPr="00072F53">
        <w:rPr>
          <w:rFonts w:cstheme="minorHAnsi"/>
        </w:rPr>
        <w:t xml:space="preserve"> (soins de santé centrés sur les survivants pour les survivants de la VBG: prise en charge clinique du viol, paquet initial minimum de services, etc.) - </w:t>
      </w:r>
      <w:r w:rsidRPr="00360E08">
        <w:rPr>
          <w:rFonts w:cstheme="minorHAnsi"/>
          <w:b/>
          <w:bCs/>
        </w:rPr>
        <w:t>ainsi que celles des travailleurs de la santé communautaire</w:t>
      </w:r>
      <w:r w:rsidRPr="00072F53">
        <w:rPr>
          <w:rFonts w:cstheme="minorHAnsi"/>
        </w:rPr>
        <w:t xml:space="preserve"> qui sont des points d'entrée pour les soutien et aiguillage des survivants.</w:t>
      </w:r>
    </w:p>
    <w:p w14:paraId="34F3B797" w14:textId="77777777" w:rsidR="00E02032" w:rsidRPr="00072F53" w:rsidRDefault="00E02032" w:rsidP="00E02032">
      <w:pPr>
        <w:pStyle w:val="NoSpacing"/>
        <w:jc w:val="both"/>
        <w:rPr>
          <w:rFonts w:cstheme="minorHAnsi"/>
        </w:rPr>
      </w:pPr>
    </w:p>
    <w:p w14:paraId="04D6DB79" w14:textId="77777777" w:rsidR="00E02032" w:rsidRPr="00072F53" w:rsidRDefault="00E02032" w:rsidP="00E02032">
      <w:pPr>
        <w:pStyle w:val="NoSpacing"/>
        <w:numPr>
          <w:ilvl w:val="0"/>
          <w:numId w:val="25"/>
        </w:numPr>
        <w:jc w:val="both"/>
        <w:rPr>
          <w:rFonts w:cstheme="minorHAnsi"/>
        </w:rPr>
      </w:pPr>
      <w:r w:rsidRPr="00360E08">
        <w:rPr>
          <w:rFonts w:cstheme="minorHAnsi"/>
          <w:b/>
          <w:bCs/>
        </w:rPr>
        <w:t>Définir des voies de référencement à destination des membres des espaces sûrs et des travailleurs de santé communautaires</w:t>
      </w:r>
      <w:r w:rsidRPr="00072F53">
        <w:rPr>
          <w:rFonts w:cstheme="minorHAnsi"/>
        </w:rPr>
        <w:t xml:space="preserve"> (couvrant la santé, le soutien psycho-social, la gestion des cas, la sécurité et la sûreté et des procédures opérationnelles standard (SOP) pour une réponse multisectorielle à la VBG.</w:t>
      </w:r>
    </w:p>
    <w:p w14:paraId="41AE6C9A" w14:textId="77777777" w:rsidR="00E02032" w:rsidRPr="00072F53" w:rsidRDefault="00E02032" w:rsidP="00E02032">
      <w:pPr>
        <w:jc w:val="both"/>
        <w:rPr>
          <w:rFonts w:cstheme="minorHAnsi"/>
        </w:rPr>
      </w:pPr>
    </w:p>
    <w:p w14:paraId="5B8919E6" w14:textId="77777777" w:rsidR="00E02032" w:rsidRPr="00072F53" w:rsidRDefault="00E02032" w:rsidP="00E02032">
      <w:pPr>
        <w:jc w:val="both"/>
        <w:rPr>
          <w:rFonts w:cstheme="minorHAnsi"/>
        </w:rPr>
      </w:pPr>
      <w:r w:rsidRPr="00072F53">
        <w:rPr>
          <w:rFonts w:cstheme="minorHAnsi"/>
        </w:rPr>
        <w:t xml:space="preserve">De plus, pour gérer correctement les risques d’EAS et HS inhérents aux activités du projet, il est nécessaire de disposer d’un </w:t>
      </w:r>
      <w:r w:rsidRPr="00072F53">
        <w:rPr>
          <w:rFonts w:cstheme="minorHAnsi"/>
          <w:b/>
          <w:bCs/>
        </w:rPr>
        <w:t>plan d’action</w:t>
      </w:r>
      <w:r w:rsidRPr="00072F53">
        <w:rPr>
          <w:rFonts w:cstheme="minorHAnsi"/>
        </w:rPr>
        <w:t xml:space="preserve"> qui détaille de manière précise les principales mesures d’atténuation des risques se résument comme suit : </w:t>
      </w:r>
    </w:p>
    <w:p w14:paraId="35B3711C" w14:textId="77777777" w:rsidR="00E02032" w:rsidRPr="00072F53" w:rsidRDefault="00E02032" w:rsidP="00E02032">
      <w:pPr>
        <w:pStyle w:val="NoSpacing"/>
        <w:ind w:left="1080"/>
        <w:jc w:val="both"/>
        <w:rPr>
          <w:rFonts w:cstheme="minorHAnsi"/>
        </w:rPr>
      </w:pPr>
    </w:p>
    <w:p w14:paraId="40070FDF" w14:textId="77777777" w:rsidR="00E02032" w:rsidRPr="00072F53" w:rsidRDefault="00E02032" w:rsidP="00E02032">
      <w:pPr>
        <w:pStyle w:val="NoSpacing"/>
        <w:numPr>
          <w:ilvl w:val="0"/>
          <w:numId w:val="19"/>
        </w:numPr>
        <w:jc w:val="both"/>
        <w:rPr>
          <w:rFonts w:cstheme="minorHAnsi"/>
        </w:rPr>
      </w:pPr>
      <w:r w:rsidRPr="00072F53">
        <w:rPr>
          <w:rFonts w:cstheme="minorHAnsi"/>
        </w:rPr>
        <w:t>S’assurer que le/la Spécialiste en sauvegarde sociale qui sera recruté.e dans le cadre du projet apporte un appui technique et continu à la mise en œuvre et au suivi du plan d’action en EAS/HS, en coordination avec les Spécialistes en VBG et sauvegardes environnementales et sociales de la Banque mondiale.</w:t>
      </w:r>
    </w:p>
    <w:p w14:paraId="69F8A98A" w14:textId="77777777" w:rsidR="00E02032" w:rsidRPr="00072F53" w:rsidRDefault="00E02032" w:rsidP="00E02032">
      <w:pPr>
        <w:pStyle w:val="NoSpacing"/>
        <w:numPr>
          <w:ilvl w:val="0"/>
          <w:numId w:val="19"/>
        </w:numPr>
        <w:jc w:val="both"/>
        <w:rPr>
          <w:rFonts w:cstheme="minorHAnsi"/>
        </w:rPr>
      </w:pPr>
      <w:r w:rsidRPr="00072F53">
        <w:rPr>
          <w:rFonts w:cstheme="minorHAnsi"/>
        </w:rPr>
        <w:t>Fournir une initiation aux équipes du projet (UGP, partenaires d'exécution et prestataires de services) sur le cadre environnemental et social de la Banque mondiale et plus particulièrement sur la «Note de bonne pratique sur la lutte contre l'exploitation et les abus sexuels et le harcèlement sexuel (EAS/HS) dans le financement de projets d'investissement impliquant des travaux de génie civil majeurs » (deuxième édition - février 2020).</w:t>
      </w:r>
    </w:p>
    <w:p w14:paraId="038CF093" w14:textId="77777777" w:rsidR="00E02032" w:rsidRPr="00072F53" w:rsidRDefault="00E02032" w:rsidP="00E02032">
      <w:pPr>
        <w:pStyle w:val="NoSpacing"/>
        <w:numPr>
          <w:ilvl w:val="0"/>
          <w:numId w:val="19"/>
        </w:numPr>
        <w:jc w:val="both"/>
        <w:rPr>
          <w:rFonts w:cstheme="minorHAnsi"/>
        </w:rPr>
      </w:pPr>
      <w:r w:rsidRPr="00072F53">
        <w:rPr>
          <w:rFonts w:cstheme="minorHAnsi"/>
        </w:rPr>
        <w:t xml:space="preserve">S’assurer que l’unité de gestion du projet (UGP) soit dotée d’un personnel spécialisé et formé pour mener des activités de prévention, de coordination et de suivi des violences sexistes.  </w:t>
      </w:r>
    </w:p>
    <w:p w14:paraId="50F5D7EC" w14:textId="62ADEA96" w:rsidR="00E02032" w:rsidRPr="00072F53" w:rsidRDefault="00E02032" w:rsidP="00E02032">
      <w:pPr>
        <w:pStyle w:val="NoSpacing"/>
        <w:numPr>
          <w:ilvl w:val="0"/>
          <w:numId w:val="19"/>
        </w:numPr>
        <w:jc w:val="both"/>
        <w:rPr>
          <w:rFonts w:cstheme="minorHAnsi"/>
        </w:rPr>
      </w:pPr>
      <w:r w:rsidRPr="00072F53">
        <w:rPr>
          <w:rFonts w:cstheme="minorHAnsi"/>
        </w:rPr>
        <w:t xml:space="preserve">S’assurer que l’unité de gestion du projet (UGP) reçoive une assistance technique régulière, en coordination avec les Spécialistes en VBG et sauvegardes  sociales de la </w:t>
      </w:r>
      <w:r w:rsidRPr="00072F53">
        <w:rPr>
          <w:rFonts w:cstheme="minorHAnsi"/>
        </w:rPr>
        <w:lastRenderedPageBreak/>
        <w:t xml:space="preserve">Banque mondiale, lui permettant d’évaluer de manière continue, tout au long du cycle de mise en place du projet, les risques de VBG, EAS/HS du projet ainsi que la bonne mise en œuvre du plan d’action comprenant les mesures d’atténuation de ces risques. </w:t>
      </w:r>
    </w:p>
    <w:p w14:paraId="02694C22" w14:textId="77777777" w:rsidR="00E02032" w:rsidRPr="00072F53" w:rsidRDefault="00E02032" w:rsidP="00E02032">
      <w:pPr>
        <w:pStyle w:val="NoSpacing"/>
        <w:numPr>
          <w:ilvl w:val="0"/>
          <w:numId w:val="19"/>
        </w:numPr>
        <w:jc w:val="both"/>
        <w:rPr>
          <w:rFonts w:cstheme="minorHAnsi"/>
        </w:rPr>
      </w:pPr>
      <w:r w:rsidRPr="00072F53">
        <w:rPr>
          <w:rFonts w:cstheme="minorHAnsi"/>
        </w:rPr>
        <w:t>Pour les activités du projet impliquant des travaux de génie civil moyens, encourager fortement les entrepreneurs à embaucher autant que possible des travailleurs qualifiés et non qualifiés de la communauté locale.</w:t>
      </w:r>
    </w:p>
    <w:p w14:paraId="1C9A6E33" w14:textId="77777777" w:rsidR="00E02032" w:rsidRPr="00072F53" w:rsidRDefault="00E02032" w:rsidP="00E02032">
      <w:pPr>
        <w:pStyle w:val="NoSpacing"/>
        <w:numPr>
          <w:ilvl w:val="0"/>
          <w:numId w:val="19"/>
        </w:numPr>
        <w:jc w:val="both"/>
        <w:rPr>
          <w:rFonts w:cstheme="minorHAnsi"/>
        </w:rPr>
      </w:pPr>
      <w:r w:rsidRPr="00072F53">
        <w:rPr>
          <w:rFonts w:cstheme="minorHAnsi"/>
        </w:rPr>
        <w:t>S'assurer que des codes de conduite, y compris les comportements acceptables et les conséquences des violations qui abordent explicitement l’EAS et l’HS, sont élaborés, compris et discutés par le personnel de l’UGP, les sous-traitants et les travailleurs ou consultants employés par eux, ainsi que par les communautés adjacentes à la zone du projet.</w:t>
      </w:r>
    </w:p>
    <w:p w14:paraId="6B8256B2" w14:textId="77777777" w:rsidR="00E02032" w:rsidRPr="00072F53" w:rsidRDefault="00E02032" w:rsidP="00E02032">
      <w:pPr>
        <w:pStyle w:val="NoSpacing"/>
        <w:numPr>
          <w:ilvl w:val="0"/>
          <w:numId w:val="19"/>
        </w:numPr>
        <w:jc w:val="both"/>
        <w:rPr>
          <w:rFonts w:cstheme="minorHAnsi"/>
        </w:rPr>
      </w:pPr>
      <w:r w:rsidRPr="00072F53">
        <w:rPr>
          <w:rFonts w:cstheme="minorHAnsi"/>
        </w:rPr>
        <w:t>S’assurer que le Mécanisme de Gestion des Plaintes (MGP) du projet soit doté de mécanismes sensibles au genre pour les plaintes / cas de VBG, EAS et HS (i.e. doté de la capacité de répertorier les cas de VBG, EAS/HS) et d’un plan de communication sociale.</w:t>
      </w:r>
    </w:p>
    <w:p w14:paraId="0244D60A" w14:textId="77777777" w:rsidR="00E02032" w:rsidRPr="00072F53" w:rsidRDefault="00E02032" w:rsidP="00E02032">
      <w:pPr>
        <w:pStyle w:val="NoSpacing"/>
        <w:numPr>
          <w:ilvl w:val="0"/>
          <w:numId w:val="19"/>
        </w:numPr>
        <w:jc w:val="both"/>
        <w:rPr>
          <w:rFonts w:cstheme="minorHAnsi"/>
        </w:rPr>
      </w:pPr>
      <w:r w:rsidRPr="00072F53">
        <w:rPr>
          <w:rFonts w:cstheme="minorHAnsi"/>
        </w:rPr>
        <w:t>Développer un protocole clair avec des dispositions spécifiques y compris des processus d’interventions clairs en cas d’infraction des codes de conduite des personnels de mise en œuvre des activités du projet.</w:t>
      </w:r>
    </w:p>
    <w:p w14:paraId="25D3FC5A" w14:textId="77777777" w:rsidR="00E02032" w:rsidRPr="00072F53" w:rsidRDefault="00E02032" w:rsidP="00E02032">
      <w:pPr>
        <w:pStyle w:val="NoSpacing"/>
        <w:numPr>
          <w:ilvl w:val="0"/>
          <w:numId w:val="19"/>
        </w:numPr>
        <w:jc w:val="both"/>
        <w:rPr>
          <w:rFonts w:cstheme="minorHAnsi"/>
        </w:rPr>
      </w:pPr>
      <w:r w:rsidRPr="00072F53">
        <w:rPr>
          <w:rFonts w:cstheme="minorHAnsi"/>
        </w:rPr>
        <w:t>Assurer un suivi actif de la zone du projet par le biais d’un mécanisme de surveillance du respect des normes et mesures prévues. Un cadre de suivi doit être complété et mis en œuvre par le Spécialiste de suivi environnemental et social.</w:t>
      </w:r>
    </w:p>
    <w:p w14:paraId="5084BD72" w14:textId="77777777" w:rsidR="00E02032" w:rsidRPr="00072F53" w:rsidRDefault="00E02032" w:rsidP="00E02032">
      <w:pPr>
        <w:pStyle w:val="NoSpacing"/>
        <w:numPr>
          <w:ilvl w:val="0"/>
          <w:numId w:val="18"/>
        </w:numPr>
        <w:jc w:val="both"/>
        <w:rPr>
          <w:rFonts w:cstheme="minorHAnsi"/>
        </w:rPr>
      </w:pPr>
      <w:r w:rsidRPr="00072F53">
        <w:rPr>
          <w:rFonts w:cstheme="minorHAnsi"/>
        </w:rPr>
        <w:t xml:space="preserve">Développer une campagne de sensibilisation des populations dans les zones ciblées par les activités du projet. </w:t>
      </w:r>
    </w:p>
    <w:p w14:paraId="0F64AA77" w14:textId="77777777" w:rsidR="00E02032" w:rsidRPr="00072F53" w:rsidRDefault="00E02032" w:rsidP="00E02032">
      <w:pPr>
        <w:pStyle w:val="NoSpacing"/>
        <w:numPr>
          <w:ilvl w:val="0"/>
          <w:numId w:val="18"/>
        </w:numPr>
        <w:jc w:val="both"/>
        <w:rPr>
          <w:rFonts w:cstheme="minorHAnsi"/>
        </w:rPr>
      </w:pPr>
      <w:r w:rsidRPr="00072F53">
        <w:rPr>
          <w:rFonts w:cstheme="minorHAnsi"/>
        </w:rPr>
        <w:t xml:space="preserve">Assurer la formation des leaders communautaires et autorités locales aux droits des femmes,  à la VBG et aux risques de EAS et HS. </w:t>
      </w:r>
    </w:p>
    <w:p w14:paraId="23EC47DC" w14:textId="77777777" w:rsidR="00E02032" w:rsidRPr="00072F53" w:rsidRDefault="00E02032" w:rsidP="00E02032">
      <w:pPr>
        <w:pStyle w:val="NoSpacing"/>
        <w:numPr>
          <w:ilvl w:val="0"/>
          <w:numId w:val="18"/>
        </w:numPr>
        <w:jc w:val="both"/>
        <w:rPr>
          <w:rFonts w:cstheme="minorHAnsi"/>
        </w:rPr>
      </w:pPr>
      <w:r w:rsidRPr="00072F53">
        <w:rPr>
          <w:rFonts w:cstheme="minorHAnsi"/>
        </w:rPr>
        <w:t>Veiller à ce que les femmes et les filles et les organisations qui soutiennent les femmes, les filles et les enfants participent de manière significative tout au long du cycle du projet</w:t>
      </w:r>
    </w:p>
    <w:p w14:paraId="3A8D9857" w14:textId="77777777" w:rsidR="00E02032" w:rsidRPr="00072F53" w:rsidRDefault="00E02032" w:rsidP="00E02032">
      <w:pPr>
        <w:spacing w:after="120" w:line="240" w:lineRule="auto"/>
        <w:ind w:left="1440"/>
        <w:jc w:val="both"/>
        <w:rPr>
          <w:rFonts w:cstheme="minorHAnsi"/>
        </w:rPr>
      </w:pPr>
    </w:p>
    <w:p w14:paraId="651A1E24" w14:textId="77777777" w:rsidR="00E02032" w:rsidRPr="00072F53" w:rsidRDefault="00E02032" w:rsidP="00E02032">
      <w:pPr>
        <w:pStyle w:val="NoSpacing"/>
        <w:jc w:val="both"/>
        <w:rPr>
          <w:rFonts w:cstheme="minorHAnsi"/>
        </w:rPr>
      </w:pPr>
      <w:r w:rsidRPr="00072F53">
        <w:rPr>
          <w:rFonts w:cstheme="minorHAnsi"/>
        </w:rPr>
        <w:t xml:space="preserve">Il est à préciser que dans la mesure du possible il est préconisé d’adopter ces mesures d’atténuation des risques en prenant en considération les mesures adoptées par les Ministères et unités de gestion de projets(UGP) engagés dans la mise en œuvre des projets des secteurs santé et éducation en RCA afin d’éviter les efforts dupliqués et la non-harmonisation des outils et mesures à mettre en œuvre. </w:t>
      </w:r>
    </w:p>
    <w:p w14:paraId="3603316E" w14:textId="77777777" w:rsidR="00E02032" w:rsidRPr="00072F53" w:rsidRDefault="00E02032" w:rsidP="00E02032">
      <w:pPr>
        <w:pStyle w:val="NoSpacing"/>
        <w:jc w:val="both"/>
        <w:rPr>
          <w:rFonts w:cstheme="minorHAnsi"/>
        </w:rPr>
      </w:pPr>
    </w:p>
    <w:p w14:paraId="338C2772" w14:textId="77777777" w:rsidR="00E02032" w:rsidRPr="00072F53" w:rsidRDefault="00E02032" w:rsidP="00E02032">
      <w:pPr>
        <w:pStyle w:val="NoSpacing"/>
        <w:jc w:val="both"/>
        <w:rPr>
          <w:rFonts w:cstheme="minorHAnsi"/>
        </w:rPr>
      </w:pPr>
      <w:r w:rsidRPr="00072F53">
        <w:rPr>
          <w:rFonts w:cstheme="minorHAnsi"/>
        </w:rPr>
        <w:t xml:space="preserve">Il sera judicieux de coordonner les activités de formation et de sensibilisation à l’endroit des différents publics ainsi que d’harmoniser les mesures </w:t>
      </w:r>
      <w:r>
        <w:rPr>
          <w:rFonts w:cstheme="minorHAnsi"/>
        </w:rPr>
        <w:t xml:space="preserve">d’atténuation des risques </w:t>
      </w:r>
      <w:r w:rsidRPr="00072F53">
        <w:rPr>
          <w:rFonts w:cstheme="minorHAnsi"/>
        </w:rPr>
        <w:t>telles que les Codes de conduite des personnels</w:t>
      </w:r>
      <w:r>
        <w:rPr>
          <w:rFonts w:cstheme="minorHAnsi"/>
        </w:rPr>
        <w:t xml:space="preserve"> engagés dans les diverses activités des composantes des projets</w:t>
      </w:r>
      <w:r w:rsidRPr="00072F53">
        <w:rPr>
          <w:rFonts w:cstheme="minorHAnsi"/>
        </w:rPr>
        <w:t xml:space="preserve"> et le MGP sensible au genre et au traitement / référencements des cas potentiels de VBG, EAS et HS. </w:t>
      </w:r>
    </w:p>
    <w:p w14:paraId="22D21C21" w14:textId="77777777" w:rsidR="00E02032" w:rsidRPr="00072F53" w:rsidRDefault="00E02032" w:rsidP="00E02032">
      <w:pPr>
        <w:pStyle w:val="NoSpacing"/>
        <w:jc w:val="both"/>
        <w:rPr>
          <w:rFonts w:cstheme="minorHAnsi"/>
        </w:rPr>
      </w:pPr>
    </w:p>
    <w:p w14:paraId="718DDE0D" w14:textId="77777777" w:rsidR="00E02032" w:rsidRPr="00072F53" w:rsidRDefault="00E02032" w:rsidP="00E02032">
      <w:pPr>
        <w:pStyle w:val="NoSpacing"/>
        <w:jc w:val="both"/>
        <w:rPr>
          <w:rFonts w:cstheme="minorHAnsi"/>
          <w:strike/>
        </w:rPr>
      </w:pPr>
      <w:r w:rsidRPr="00072F53">
        <w:rPr>
          <w:rFonts w:cstheme="minorHAnsi"/>
        </w:rPr>
        <w:t>Une concertation entre les Ministères et UGPs des projets du portefeuille centrafricain est aussi recommandée pour l’échange de bonnes pratiques dans la mise en œuvre des plans d’action EAS/HS y compris les partenariats stratégiques par régions et zones avec les organisations prestataires de services VBG.</w:t>
      </w:r>
    </w:p>
    <w:p w14:paraId="6A8C7E2C" w14:textId="77777777" w:rsidR="00E02032" w:rsidRPr="00072F53" w:rsidRDefault="00E02032" w:rsidP="00E02032">
      <w:pPr>
        <w:pStyle w:val="NoSpacing"/>
        <w:jc w:val="both"/>
        <w:rPr>
          <w:rFonts w:cstheme="minorHAnsi"/>
        </w:rPr>
      </w:pPr>
    </w:p>
    <w:p w14:paraId="2AD15C17" w14:textId="77777777" w:rsidR="00E02032" w:rsidRPr="00AB1CF4" w:rsidRDefault="00E02032" w:rsidP="00E02032">
      <w:pPr>
        <w:pStyle w:val="NoSpacing"/>
        <w:jc w:val="both"/>
        <w:rPr>
          <w:rFonts w:cstheme="minorHAnsi"/>
        </w:rPr>
        <w:sectPr w:rsidR="00E02032" w:rsidRPr="00AB1CF4" w:rsidSect="009D0A84">
          <w:footerReference w:type="default" r:id="rId18"/>
          <w:pgSz w:w="11906" w:h="16838"/>
          <w:pgMar w:top="1417" w:right="1417" w:bottom="1417" w:left="1417" w:header="708" w:footer="708" w:gutter="0"/>
          <w:cols w:space="708"/>
          <w:docGrid w:linePitch="360"/>
        </w:sectPr>
      </w:pPr>
      <w:r w:rsidRPr="00072F53">
        <w:rPr>
          <w:rFonts w:cstheme="minorHAnsi"/>
        </w:rPr>
        <w:t>La cartographie préliminaire des prestataires de services doit se préciser à la lumière des données préalablement collectées par les projets opérant dans les régions et zones du projet Maïngo. Il en va de même pour l’identification des systèmes de référencement des survivantes de VBG envers les prestataires de service</w:t>
      </w:r>
      <w:r>
        <w:rPr>
          <w:rFonts w:cstheme="minorHAnsi"/>
        </w:rPr>
        <w:t xml:space="preserve">s. </w:t>
      </w:r>
    </w:p>
    <w:p w14:paraId="3CC6ACBB" w14:textId="77777777" w:rsidR="00E02032" w:rsidRPr="00AB1CF4" w:rsidRDefault="00E02032" w:rsidP="00E02032">
      <w:pPr>
        <w:pStyle w:val="Heading1"/>
        <w:rPr>
          <w:rStyle w:val="Heading3Char"/>
          <w:rFonts w:asciiTheme="minorHAnsi" w:hAnsiTheme="minorHAnsi" w:cstheme="minorHAnsi"/>
        </w:rPr>
      </w:pPr>
      <w:bookmarkStart w:id="30" w:name="_Toc68269626"/>
      <w:r w:rsidRPr="00AB1CF4">
        <w:rPr>
          <w:rFonts w:asciiTheme="minorHAnsi" w:hAnsiTheme="minorHAnsi" w:cstheme="minorHAnsi"/>
        </w:rPr>
        <w:lastRenderedPageBreak/>
        <w:t>ANNEXES</w:t>
      </w:r>
      <w:bookmarkEnd w:id="30"/>
    </w:p>
    <w:p w14:paraId="2CDD5BA0" w14:textId="77777777" w:rsidR="00E02032" w:rsidRPr="00AB1CF4" w:rsidRDefault="00E02032" w:rsidP="00E02032">
      <w:pPr>
        <w:pStyle w:val="Heading3"/>
        <w:rPr>
          <w:rFonts w:asciiTheme="minorHAnsi" w:hAnsiTheme="minorHAnsi" w:cstheme="minorHAnsi"/>
          <w:vertAlign w:val="superscript"/>
        </w:rPr>
      </w:pPr>
      <w:bookmarkStart w:id="31" w:name="_Toc68269627"/>
      <w:r w:rsidRPr="00AB1CF4">
        <w:rPr>
          <w:rFonts w:asciiTheme="minorHAnsi" w:hAnsiTheme="minorHAnsi" w:cstheme="minorHAnsi"/>
        </w:rPr>
        <w:t xml:space="preserve">Annexe 1 : Définitions et terminologie </w:t>
      </w:r>
      <w:r w:rsidRPr="00AB1CF4">
        <w:rPr>
          <w:rFonts w:asciiTheme="minorHAnsi" w:hAnsiTheme="minorHAnsi" w:cstheme="minorHAnsi"/>
          <w:vertAlign w:val="superscript"/>
        </w:rPr>
        <w:footnoteReference w:id="43"/>
      </w:r>
      <w:bookmarkEnd w:id="31"/>
    </w:p>
    <w:p w14:paraId="4310CCDC" w14:textId="77777777" w:rsidR="00E02032" w:rsidRPr="00AB1CF4" w:rsidRDefault="00E02032" w:rsidP="00E02032">
      <w:pPr>
        <w:jc w:val="both"/>
        <w:rPr>
          <w:rFonts w:cstheme="minorHAnsi"/>
          <w:b/>
        </w:rPr>
      </w:pPr>
    </w:p>
    <w:p w14:paraId="768FF58D" w14:textId="77777777" w:rsidR="00E02032" w:rsidRPr="00AB1CF4" w:rsidRDefault="00E02032" w:rsidP="00E02032">
      <w:pPr>
        <w:jc w:val="both"/>
        <w:rPr>
          <w:rFonts w:cstheme="minorHAnsi"/>
          <w:b/>
        </w:rPr>
      </w:pPr>
      <w:r w:rsidRPr="00AB1CF4">
        <w:rPr>
          <w:rFonts w:cstheme="minorHAnsi"/>
          <w:b/>
        </w:rPr>
        <w:t>Définition de la violence sexiste</w:t>
      </w:r>
    </w:p>
    <w:p w14:paraId="0BCC1611" w14:textId="77777777" w:rsidR="00E02032" w:rsidRPr="00AB1CF4" w:rsidRDefault="00E02032" w:rsidP="00E02032">
      <w:pPr>
        <w:jc w:val="both"/>
        <w:rPr>
          <w:rFonts w:cstheme="minorHAnsi"/>
        </w:rPr>
      </w:pPr>
      <w:r w:rsidRPr="00AB1CF4">
        <w:rPr>
          <w:rFonts w:cstheme="minorHAnsi"/>
        </w:rPr>
        <w:t>« La violence sexiste est une expression générique qui s’entend de tout acte préjudiciable perpétré contre le gré d’une personne et fondé sur les différences que la société établit entre les hommes et les femmes. Elle englobe les actes qui provoquent un préjudice ou des souffrances physiques, sexuelles ou psychologiques, la menace de tels actes, la contrainte, et d’autres formes de privation de liberté, que ce soit dans la sphère publique ou dans la sphère privée. La violence sexiste touche de manière disproportionnée les femmes et les filles au cours de leur vie et prend de nombreuses formes, y compris les sévices sexuels, physiques et psychologiques. Elle se produit au sein du foyer, dans la rue, dans les établissements d’enseignement, au travail, dans les champs agricoles et les camps de réfugiés aussi bien en temps de paix qu’en période de conflit et de crise.</w:t>
      </w:r>
    </w:p>
    <w:p w14:paraId="2F7736C2" w14:textId="77777777" w:rsidR="00E02032" w:rsidRPr="00AB1CF4" w:rsidRDefault="00E02032" w:rsidP="00E02032">
      <w:pPr>
        <w:jc w:val="both"/>
        <w:rPr>
          <w:rFonts w:cstheme="minorHAnsi"/>
        </w:rPr>
      </w:pPr>
      <w:r w:rsidRPr="00AB1CF4">
        <w:rPr>
          <w:rFonts w:cstheme="minorHAnsi"/>
        </w:rPr>
        <w:t>L’expression violence sexiste est le plus généralement utilisée pour souligner les inégalités systémiques entre hommes et femmes— qui existent dans toutes les sociétés du monde — et agit comme une caractéristique fondatrice and fédératrice de la plupart des formes de violences perpétrées contre les femmes et les filles</w:t>
      </w:r>
      <w:r w:rsidRPr="00AB1CF4">
        <w:rPr>
          <w:rStyle w:val="FootnoteReference"/>
          <w:rFonts w:cstheme="minorHAnsi"/>
        </w:rPr>
        <w:footnoteReference w:id="44"/>
      </w:r>
      <w:r w:rsidRPr="00AB1CF4">
        <w:rPr>
          <w:rFonts w:cstheme="minorHAnsi"/>
        </w:rPr>
        <w:t>. Elle tire son origine de la Déclaration sur l’élimination de la violence à l’égard des femmes adoptée par les Nations Unies en 1993, qui définit la violence contre les femmes comme « tous actes de violence dirigés contre le sexe féminin, et causant ou pouvant causer aux femmes un préjudice ou des souffrances physiques, sexuelles ou psychologiques ». La discrimination fondée sur le sexe ou l’identité de genre n’est pas seulement une cause de nombreuses formes de violence sexiste, mais aussi contribue à l’acceptation et l’invisibilité généralisées de cette violence — si bien que les auteurs n’ont pas à rendre compte de leurs actes et que les victimes sont dissuadées de s’exprimer et de solliciter une aide »</w:t>
      </w:r>
      <w:r w:rsidRPr="00AB1CF4">
        <w:rPr>
          <w:rStyle w:val="FootnoteReference"/>
          <w:rFonts w:cstheme="minorHAnsi"/>
          <w:b/>
        </w:rPr>
        <w:t xml:space="preserve"> </w:t>
      </w:r>
      <w:r w:rsidRPr="00AB1CF4">
        <w:rPr>
          <w:rStyle w:val="FootnoteReference"/>
          <w:rFonts w:cstheme="minorHAnsi"/>
          <w:b/>
        </w:rPr>
        <w:footnoteReference w:id="45"/>
      </w:r>
      <w:r w:rsidRPr="00AB1CF4">
        <w:rPr>
          <w:rFonts w:cstheme="minorHAnsi"/>
        </w:rPr>
        <w:t>.</w:t>
      </w:r>
    </w:p>
    <w:p w14:paraId="0B7C8D3E" w14:textId="77777777" w:rsidR="00E02032" w:rsidRPr="00AB1CF4" w:rsidRDefault="00E02032" w:rsidP="00E02032">
      <w:pPr>
        <w:jc w:val="both"/>
        <w:rPr>
          <w:rFonts w:cstheme="minorHAnsi"/>
        </w:rPr>
      </w:pPr>
      <w:r w:rsidRPr="00AB1CF4">
        <w:rPr>
          <w:rFonts w:cstheme="minorHAnsi"/>
        </w:rPr>
        <w:t>Pour déterminer si un acte peut être assimilé à de la violence sexiste, il faut considérer si cet acte reflète et/ou renforce les rapports de force inégaux entre hommes et femmes.</w:t>
      </w:r>
    </w:p>
    <w:p w14:paraId="4443320E" w14:textId="77777777" w:rsidR="00E02032" w:rsidRPr="00AB1CF4" w:rsidRDefault="00E02032" w:rsidP="00E02032">
      <w:pPr>
        <w:jc w:val="both"/>
        <w:rPr>
          <w:rFonts w:cstheme="minorHAnsi"/>
        </w:rPr>
      </w:pPr>
      <w:r w:rsidRPr="00AB1CF4">
        <w:rPr>
          <w:rFonts w:cstheme="minorHAnsi"/>
        </w:rPr>
        <w:t xml:space="preserve">Bien qu’elle renvoie généralement à la violence perpétrée par les hommes contre les femmes, la violence sexiste touche également tous les individus et ce quelque soit leur genre et leur orientation sexuelle. </w:t>
      </w:r>
    </w:p>
    <w:p w14:paraId="60E41535" w14:textId="77777777" w:rsidR="00E02032" w:rsidRPr="00AB1CF4" w:rsidRDefault="00E02032" w:rsidP="00E02032">
      <w:pPr>
        <w:jc w:val="both"/>
        <w:rPr>
          <w:rFonts w:cstheme="minorHAnsi"/>
        </w:rPr>
      </w:pPr>
      <w:r w:rsidRPr="00AB1CF4">
        <w:rPr>
          <w:rFonts w:cstheme="minorHAnsi"/>
        </w:rPr>
        <w:t xml:space="preserve">Bien des formes de violence sexiste — mais pas toutes — sont considérées comme des actes criminels dans les lois et politiques nationales. La situation diffère d’un pays à l’autre, et la mise en œuvre dans la pratique des lois et politiques peut varier grandement. L’impunité généralisée est un obstacle </w:t>
      </w:r>
      <w:r w:rsidRPr="00AB1CF4">
        <w:rPr>
          <w:rFonts w:cstheme="minorHAnsi"/>
        </w:rPr>
        <w:lastRenderedPageBreak/>
        <w:t>constant — dans les nations développées et les pays en développement — et la faible application des lois est quasiment une caractéristique universelle des pays à faible revenu et à revenu intermédiaire.</w:t>
      </w:r>
    </w:p>
    <w:p w14:paraId="290E6F17" w14:textId="77777777" w:rsidR="00E02032" w:rsidRPr="00AB1CF4" w:rsidRDefault="00E02032" w:rsidP="00E02032">
      <w:pPr>
        <w:jc w:val="both"/>
        <w:rPr>
          <w:rFonts w:cstheme="minorHAnsi"/>
          <w:b/>
        </w:rPr>
      </w:pPr>
      <w:r w:rsidRPr="00AB1CF4">
        <w:rPr>
          <w:rFonts w:cstheme="minorHAnsi"/>
          <w:b/>
        </w:rPr>
        <w:t>Violence à l’égard des femmes et des filles</w:t>
      </w:r>
    </w:p>
    <w:p w14:paraId="29C8A138" w14:textId="77777777" w:rsidR="00E02032" w:rsidRPr="00AB1CF4" w:rsidRDefault="00E02032" w:rsidP="00E02032">
      <w:pPr>
        <w:jc w:val="both"/>
        <w:rPr>
          <w:rFonts w:cstheme="minorHAnsi"/>
        </w:rPr>
      </w:pPr>
      <w:r w:rsidRPr="00AB1CF4">
        <w:rPr>
          <w:rFonts w:cstheme="minorHAnsi"/>
        </w:rPr>
        <w:t xml:space="preserve">La Déclaration des Nations Unies de 1993 sur l’élimination de la violence à l’égard des femmes définit la violence à l’égard des femmes et des filles comme tous actes de violence dirigée contre le sexe féminin, et causant ou pouvant causer aux femmes un préjudice ou des souffrances physiques, sexuelles ou psychologiques, y compris la menace de tels actes, la contrainte ou la privation arbitraire de liberté, que ce soit dans la vie publique ou la vie privée (Article premier). La violence à l’égard des femmes et des filles s’entend comme englobant, sans y être limitée, les formes suivantes : </w:t>
      </w:r>
    </w:p>
    <w:p w14:paraId="10DDAF59" w14:textId="77777777" w:rsidR="00E02032" w:rsidRPr="00AB1CF4" w:rsidRDefault="00E02032" w:rsidP="00E02032">
      <w:pPr>
        <w:pStyle w:val="ListParagraph"/>
        <w:numPr>
          <w:ilvl w:val="0"/>
          <w:numId w:val="2"/>
        </w:numPr>
        <w:jc w:val="both"/>
        <w:rPr>
          <w:rFonts w:cstheme="minorHAnsi"/>
        </w:rPr>
      </w:pPr>
      <w:r w:rsidRPr="00AB1CF4">
        <w:rPr>
          <w:rFonts w:cstheme="minorHAnsi"/>
        </w:rPr>
        <w:t xml:space="preserve">La violence physique, sexuelle et psychologique exercée au sein de la famille, y compris les coups, les sévices sexuels infligés aux enfants de sexe féminin au foyer, les violences liées à la dot, le viol conjugal, les mutilations génitales et autres pratiques traditionnelles préjudiciables à la femme, la violence non conjugale et la violence liée à l’exploitation ; </w:t>
      </w:r>
    </w:p>
    <w:p w14:paraId="239CA02E" w14:textId="77777777" w:rsidR="00E02032" w:rsidRPr="00AB1CF4" w:rsidRDefault="00E02032" w:rsidP="00E02032">
      <w:pPr>
        <w:pStyle w:val="ListParagraph"/>
        <w:numPr>
          <w:ilvl w:val="0"/>
          <w:numId w:val="2"/>
        </w:numPr>
        <w:jc w:val="both"/>
        <w:rPr>
          <w:rFonts w:cstheme="minorHAnsi"/>
        </w:rPr>
      </w:pPr>
      <w:r w:rsidRPr="00AB1CF4">
        <w:rPr>
          <w:rFonts w:cstheme="minorHAnsi"/>
        </w:rPr>
        <w:t xml:space="preserve">La violence physique, sexuelle et psychologique exercée au sein de la collectivité, y compris le viol, les sévices sexuels, le harcèlement sexuel et l’intimidation au travail, dans les établissements d’enseignement et ailleurs, le proxénétisme et la prostitution forcée ; </w:t>
      </w:r>
    </w:p>
    <w:p w14:paraId="4AB9DD0D" w14:textId="77777777" w:rsidR="00E02032" w:rsidRPr="00AB1CF4" w:rsidRDefault="00E02032" w:rsidP="00E02032">
      <w:pPr>
        <w:pStyle w:val="ListParagraph"/>
        <w:numPr>
          <w:ilvl w:val="0"/>
          <w:numId w:val="2"/>
        </w:numPr>
        <w:jc w:val="both"/>
        <w:rPr>
          <w:rFonts w:cstheme="minorHAnsi"/>
        </w:rPr>
      </w:pPr>
      <w:r w:rsidRPr="00AB1CF4">
        <w:rPr>
          <w:rFonts w:cstheme="minorHAnsi"/>
        </w:rPr>
        <w:t xml:space="preserve">La violence physique, sexuelle et psychologique perpétrée ou tolérée par l’État, où qu’elle s’exerce (article 2). </w:t>
      </w:r>
    </w:p>
    <w:p w14:paraId="57621B7B" w14:textId="77777777" w:rsidR="00E02032" w:rsidRPr="00AB1CF4" w:rsidRDefault="00E02032" w:rsidP="00E02032">
      <w:pPr>
        <w:jc w:val="both"/>
        <w:rPr>
          <w:rFonts w:cstheme="minorHAnsi"/>
        </w:rPr>
      </w:pPr>
      <w:r w:rsidRPr="00AB1CF4">
        <w:rPr>
          <w:rFonts w:cstheme="minorHAnsi"/>
        </w:rPr>
        <w:t>La violence à l’égard des femmes et des filles traduit des rapports de force historiquement inégaux entre hommes et femmes, lesquels ont abouti à la domination et à la discrimination exercées par les premiers et freiné la promotion des secondes.</w:t>
      </w:r>
    </w:p>
    <w:p w14:paraId="69C51CC4" w14:textId="77777777" w:rsidR="00E02032" w:rsidRPr="00AB1CF4" w:rsidRDefault="00E02032" w:rsidP="00E02032">
      <w:pPr>
        <w:jc w:val="both"/>
        <w:rPr>
          <w:rFonts w:cstheme="minorHAnsi"/>
          <w:b/>
        </w:rPr>
      </w:pPr>
      <w:r w:rsidRPr="00AB1CF4">
        <w:rPr>
          <w:rFonts w:cstheme="minorHAnsi"/>
          <w:b/>
        </w:rPr>
        <w:t>Violence basée sur le genre ou violence sexiste ou violence basée sur le sexe</w:t>
      </w:r>
    </w:p>
    <w:p w14:paraId="49ED784C" w14:textId="77777777" w:rsidR="00E02032" w:rsidRPr="00AB1CF4" w:rsidRDefault="00E02032" w:rsidP="00E02032">
      <w:pPr>
        <w:jc w:val="both"/>
        <w:rPr>
          <w:rFonts w:cstheme="minorHAnsi"/>
        </w:rPr>
      </w:pPr>
      <w:r w:rsidRPr="00AB1CF4">
        <w:rPr>
          <w:rFonts w:cstheme="minorHAnsi"/>
        </w:rPr>
        <w:t>Expression générique qui désigne tout acte préjudiciable perpétré contre le gré d’une personne et fondé sur les différences que la société établit entre les hommes et les femmes (genre). Elle englobe les actes qui provoquent un préjudice ou des souffrances physiques, sexuelles ou psychologiques, la menace de tels actes, la contrainte, et d’autres formes de privation de liberté. Ces actes peuvent se produire dans la sphère publique ou privée (IASC 2015)</w:t>
      </w:r>
      <w:r w:rsidRPr="00AB1CF4">
        <w:rPr>
          <w:rStyle w:val="FootnoteReference"/>
          <w:rFonts w:cstheme="minorHAnsi"/>
        </w:rPr>
        <w:footnoteReference w:id="46"/>
      </w:r>
      <w:r w:rsidRPr="00AB1CF4">
        <w:rPr>
          <w:rFonts w:cstheme="minorHAnsi"/>
        </w:rPr>
        <w:t>. Les femmes et les filles sont touchées de façon disproportionnée par la violence sexiste à travers le monde.</w:t>
      </w:r>
    </w:p>
    <w:p w14:paraId="362CE76F" w14:textId="77777777" w:rsidR="00E02032" w:rsidRPr="00AB1CF4" w:rsidRDefault="00E02032" w:rsidP="00E02032">
      <w:pPr>
        <w:jc w:val="both"/>
        <w:rPr>
          <w:rFonts w:cstheme="minorHAnsi"/>
        </w:rPr>
      </w:pPr>
      <w:r w:rsidRPr="00AB1CF4">
        <w:rPr>
          <w:rFonts w:cstheme="minorHAnsi"/>
        </w:rPr>
        <w:t>Les six principaux types de VBG sont les suivantes</w:t>
      </w:r>
      <w:r w:rsidRPr="00AB1CF4">
        <w:rPr>
          <w:rStyle w:val="FootnoteReference"/>
          <w:rFonts w:cstheme="minorHAnsi"/>
        </w:rPr>
        <w:footnoteReference w:id="47"/>
      </w:r>
      <w:r w:rsidRPr="00AB1CF4">
        <w:rPr>
          <w:rFonts w:cstheme="minorHAnsi"/>
        </w:rPr>
        <w:t xml:space="preserve"> : </w:t>
      </w:r>
    </w:p>
    <w:p w14:paraId="73B74F68" w14:textId="77777777" w:rsidR="00E02032" w:rsidRPr="00AB1CF4" w:rsidRDefault="00E02032" w:rsidP="00E02032">
      <w:pPr>
        <w:ind w:left="708"/>
        <w:jc w:val="both"/>
        <w:rPr>
          <w:rFonts w:cstheme="minorHAnsi"/>
        </w:rPr>
      </w:pPr>
      <w:r w:rsidRPr="00AB1CF4">
        <w:rPr>
          <w:rFonts w:cstheme="minorHAnsi"/>
          <w:b/>
          <w:bCs/>
        </w:rPr>
        <w:t>Viol :</w:t>
      </w:r>
      <w:r w:rsidRPr="00AB1CF4">
        <w:rPr>
          <w:rFonts w:cstheme="minorHAnsi"/>
        </w:rPr>
        <w:t xml:space="preserve"> pénétration vaginale, anale ou buccale sans consentement (même superficielle), à l’aide du pénis ou d’une autre partie du corps. S’applique également à l’insertion d’un objet dans le vagin ou l’anus. </w:t>
      </w:r>
    </w:p>
    <w:p w14:paraId="5A6E50ED" w14:textId="77777777" w:rsidR="00E02032" w:rsidRPr="00AB1CF4" w:rsidRDefault="00E02032" w:rsidP="00E02032">
      <w:pPr>
        <w:ind w:left="708"/>
        <w:jc w:val="both"/>
        <w:rPr>
          <w:rFonts w:cstheme="minorHAnsi"/>
        </w:rPr>
      </w:pPr>
      <w:r w:rsidRPr="00AB1CF4">
        <w:rPr>
          <w:rFonts w:cstheme="minorHAnsi"/>
          <w:b/>
          <w:bCs/>
        </w:rPr>
        <w:t>Agression sexuelle :</w:t>
      </w:r>
      <w:r w:rsidRPr="00AB1CF4">
        <w:rPr>
          <w:rFonts w:cstheme="minorHAnsi"/>
        </w:rPr>
        <w:t xml:space="preserve"> toute forme de contact sexuel sans consentement ne débouchant pas ou ne reposant pas sur un acte de pénétration. Entre autres exemples : les tentatives de viol, ainsi que les baisers, les caresses et les attouchements non désirés aux parties génitales ou aux fesses. Les FGM sont des actes de violence qui lèsent les organes sexuels ; elles devraient donc </w:t>
      </w:r>
      <w:r w:rsidRPr="00AB1CF4">
        <w:rPr>
          <w:rFonts w:cstheme="minorHAnsi"/>
        </w:rPr>
        <w:lastRenderedPageBreak/>
        <w:t xml:space="preserve">être classées dans la catégorie des agressions sexuelles. Ce type d’incident n’englobe pas les viols (qui consistent en un acte de pénétration). </w:t>
      </w:r>
    </w:p>
    <w:p w14:paraId="55236F96" w14:textId="77777777" w:rsidR="00E02032" w:rsidRPr="00AB1CF4" w:rsidRDefault="00E02032" w:rsidP="00E02032">
      <w:pPr>
        <w:ind w:left="708"/>
        <w:jc w:val="both"/>
        <w:rPr>
          <w:rFonts w:cstheme="minorHAnsi"/>
        </w:rPr>
      </w:pPr>
      <w:r w:rsidRPr="00AB1CF4">
        <w:rPr>
          <w:rFonts w:cstheme="minorHAnsi"/>
          <w:b/>
          <w:bCs/>
        </w:rPr>
        <w:t>Agression physique :</w:t>
      </w:r>
      <w:r w:rsidRPr="00AB1CF4">
        <w:rPr>
          <w:rFonts w:cstheme="minorHAnsi"/>
        </w:rPr>
        <w:t xml:space="preserve"> Violence physique n’étant pas de nature sexuelle. Entre autres exemples : coups, gifles, strangulation, coupures, bousculades, brûlures, tirs ou usage d’armes, quelles qu’elles soient, attaques à l’acide ou tout autre acte occasionnant des douleurs, une gêne ou des blessures. Ce type d’incident n’englobe pas les MGF/E. </w:t>
      </w:r>
    </w:p>
    <w:p w14:paraId="4B7C9F04" w14:textId="77777777" w:rsidR="00E02032" w:rsidRPr="00AB1CF4" w:rsidRDefault="00E02032" w:rsidP="00E02032">
      <w:pPr>
        <w:ind w:left="708"/>
        <w:jc w:val="both"/>
        <w:rPr>
          <w:rFonts w:cstheme="minorHAnsi"/>
        </w:rPr>
      </w:pPr>
      <w:r w:rsidRPr="00AB1CF4">
        <w:rPr>
          <w:rFonts w:cstheme="minorHAnsi"/>
          <w:b/>
          <w:bCs/>
        </w:rPr>
        <w:t>Mariage forcé :</w:t>
      </w:r>
      <w:r w:rsidRPr="00AB1CF4">
        <w:rPr>
          <w:rFonts w:cstheme="minorHAnsi"/>
        </w:rPr>
        <w:t xml:space="preserve"> Mariage d’une personne contre sa volonté́. Le mariage forcé désigne le mariage d’un individu contre son gré. Le mariage d’enfants désigne un mariage officiel ou une union non officialisée avant l’âge de 18 ans. Bien que certains pays autorisent le mariage avant l’âge de 18 ans, les principes internationaux des droits de l’homme les considèrent tout de même comme des mariages d’enfants, au motif qu’une personne âgée de moins de 18 ans ne peut donner son consentement éclairé. Le mariage précoce constitue donc une forme de mariage forcé, puisqu’une personne mineure n’a pas la capacité juridique de consentir à cette union (IASC 2015).</w:t>
      </w:r>
    </w:p>
    <w:p w14:paraId="06ED27E9" w14:textId="77777777" w:rsidR="00E02032" w:rsidRPr="00AB1CF4" w:rsidRDefault="00E02032" w:rsidP="00E02032">
      <w:pPr>
        <w:ind w:left="708"/>
        <w:jc w:val="both"/>
        <w:rPr>
          <w:rFonts w:cstheme="minorHAnsi"/>
        </w:rPr>
      </w:pPr>
      <w:r w:rsidRPr="00AB1CF4">
        <w:rPr>
          <w:rFonts w:cstheme="minorHAnsi"/>
          <w:b/>
          <w:bCs/>
        </w:rPr>
        <w:t>Déni de ressources, d’opportunités ou de services :</w:t>
      </w:r>
      <w:r w:rsidRPr="00AB1CF4">
        <w:rPr>
          <w:rFonts w:cstheme="minorHAnsi"/>
        </w:rPr>
        <w:t xml:space="preserve"> déni de l’accès légitime à des ressources/actifs économiques ou à des opportunités de subsistance, et à des services éducatifs, sanitaires ou autres services sociaux. On parle de déni de ressources, d’opportunités et de services, par exemple, lorsqu’on empêche une veuve de recevoir un héritage, lorsque les revenus d’une personne sont confisqués de force par son compagnon intime ou un membre de sa famille, lorsqu’une femme se voit interdire l’usage des moyens de contraception, lorsqu’on empêche une fille d’aller à l’école, etc. Les cas de pauvreté́ générale ne devraient pas être consignés. </w:t>
      </w:r>
    </w:p>
    <w:p w14:paraId="5320C5BF" w14:textId="77777777" w:rsidR="00E02032" w:rsidRPr="00AB1CF4" w:rsidRDefault="00E02032" w:rsidP="00E02032">
      <w:pPr>
        <w:ind w:left="708"/>
        <w:jc w:val="both"/>
        <w:rPr>
          <w:rFonts w:cstheme="minorHAnsi"/>
        </w:rPr>
      </w:pPr>
      <w:r w:rsidRPr="00AB1CF4">
        <w:rPr>
          <w:rFonts w:cstheme="minorHAnsi"/>
          <w:b/>
          <w:bCs/>
        </w:rPr>
        <w:t>Violences psychologiques / émotionnelles :</w:t>
      </w:r>
      <w:r w:rsidRPr="00AB1CF4">
        <w:rPr>
          <w:rFonts w:cstheme="minorHAnsi"/>
        </w:rPr>
        <w:t xml:space="preserve"> Infliction de douleurs ou de blessures mentales ou émotionnelles. Entre autres exemples : menaces de violence physique ou sexuelle, intimidation, humiliation, isolement forcé, poursuite, harcèlement verbal, attention non souhaitée, remarques, gestes ou écrits de nature sexuelle et/ou menaçants, destruction de biens précieux, etc. </w:t>
      </w:r>
    </w:p>
    <w:p w14:paraId="2B4F21C1" w14:textId="77777777" w:rsidR="00E02032" w:rsidRPr="00AB1CF4" w:rsidRDefault="00E02032" w:rsidP="00E02032">
      <w:pPr>
        <w:jc w:val="both"/>
        <w:rPr>
          <w:rFonts w:cstheme="minorHAnsi"/>
        </w:rPr>
      </w:pPr>
      <w:r w:rsidRPr="00AB1CF4">
        <w:rPr>
          <w:rFonts w:cstheme="minorHAnsi"/>
          <w:b/>
          <w:bCs/>
        </w:rPr>
        <w:t>Exploitation et Atteintes sexuelles</w:t>
      </w:r>
      <w:r w:rsidRPr="00AB1CF4">
        <w:rPr>
          <w:rStyle w:val="FootnoteReference"/>
          <w:rFonts w:cstheme="minorHAnsi"/>
          <w:b/>
          <w:bCs/>
        </w:rPr>
        <w:footnoteReference w:id="48"/>
      </w:r>
      <w:r w:rsidRPr="00AB1CF4">
        <w:rPr>
          <w:rFonts w:cstheme="minorHAnsi"/>
        </w:rPr>
        <w:t xml:space="preserve"> : </w:t>
      </w:r>
    </w:p>
    <w:p w14:paraId="15CEBC23" w14:textId="77777777" w:rsidR="00E02032" w:rsidRPr="00AB1CF4" w:rsidRDefault="00E02032" w:rsidP="00E02032">
      <w:pPr>
        <w:ind w:left="708"/>
        <w:jc w:val="both"/>
        <w:rPr>
          <w:rFonts w:cstheme="minorHAnsi"/>
        </w:rPr>
      </w:pPr>
      <w:r w:rsidRPr="00AB1CF4">
        <w:rPr>
          <w:rFonts w:cstheme="minorHAnsi"/>
          <w:i/>
          <w:iCs/>
        </w:rPr>
        <w:t>Exploitation sexuelle :</w:t>
      </w:r>
      <w:r w:rsidRPr="00AB1CF4">
        <w:rPr>
          <w:rFonts w:cstheme="minorHAnsi"/>
        </w:rPr>
        <w:t xml:space="preserve"> Le fait de profiter ou de tenter de profiter d’un état de vulnérabilité, d’un rapport de force inégal ou de rapports de confiance à des fins sexuelles, y compris mais non exclusivement en vue d’en tirer un avantage pécuniaire, social ou politique (tiré du Glossaire des Nations Unies sur l’exploitation et les atteintes sexuelles, 2017, p.6).</w:t>
      </w:r>
    </w:p>
    <w:p w14:paraId="37144815" w14:textId="77777777" w:rsidR="00E02032" w:rsidRPr="00AB1CF4" w:rsidRDefault="00E02032" w:rsidP="00E02032">
      <w:pPr>
        <w:ind w:left="708"/>
        <w:jc w:val="both"/>
        <w:rPr>
          <w:rFonts w:cstheme="minorHAnsi"/>
        </w:rPr>
      </w:pPr>
      <w:r w:rsidRPr="00AB1CF4">
        <w:rPr>
          <w:rFonts w:cstheme="minorHAnsi"/>
          <w:i/>
          <w:iCs/>
        </w:rPr>
        <w:t>Atteinte sexuelle :</w:t>
      </w:r>
      <w:r w:rsidRPr="00AB1CF4">
        <w:rPr>
          <w:rFonts w:cstheme="minorHAnsi"/>
        </w:rPr>
        <w:t xml:space="preserve"> Toute intrusion physique à caractère sexuel commise par la force, sous la contrainte ou à la faveur d’un rapport inégal, ou la menace d’une telle intrusion (Glossaire des Nations Unies sur l’exploitation et les atteintes sexuelles, 2017, p.5). </w:t>
      </w:r>
    </w:p>
    <w:p w14:paraId="201E1E67" w14:textId="77777777" w:rsidR="00E02032" w:rsidRPr="00AB1CF4" w:rsidRDefault="00E02032" w:rsidP="00E02032">
      <w:pPr>
        <w:jc w:val="both"/>
        <w:rPr>
          <w:rFonts w:cstheme="minorHAnsi"/>
        </w:rPr>
      </w:pPr>
      <w:r w:rsidRPr="00AB1CF4">
        <w:rPr>
          <w:rFonts w:cstheme="minorHAnsi"/>
          <w:b/>
          <w:bCs/>
        </w:rPr>
        <w:t>Harcèlement sexuel</w:t>
      </w:r>
      <w:r w:rsidRPr="00AB1CF4">
        <w:rPr>
          <w:rFonts w:cstheme="minorHAnsi"/>
        </w:rPr>
        <w:t> : Toute avance sexuelle importune ou demande de faveurs sexuelles ou tout autre comportement verbal ou physique à connotation sexuelle</w:t>
      </w:r>
      <w:r w:rsidRPr="00AB1CF4">
        <w:rPr>
          <w:rStyle w:val="FootnoteReference"/>
          <w:rFonts w:cstheme="minorHAnsi"/>
        </w:rPr>
        <w:footnoteReference w:id="49"/>
      </w:r>
      <w:r w:rsidRPr="00AB1CF4">
        <w:rPr>
          <w:rFonts w:cstheme="minorHAnsi"/>
        </w:rPr>
        <w:t xml:space="preserve">. </w:t>
      </w:r>
    </w:p>
    <w:p w14:paraId="3E8127EA" w14:textId="77777777" w:rsidR="00E02032" w:rsidRPr="00AB1CF4" w:rsidRDefault="00E02032" w:rsidP="00E02032">
      <w:pPr>
        <w:jc w:val="both"/>
        <w:rPr>
          <w:rFonts w:cstheme="minorHAnsi"/>
          <w:b/>
        </w:rPr>
      </w:pPr>
      <w:r w:rsidRPr="00AB1CF4">
        <w:rPr>
          <w:rFonts w:cstheme="minorHAnsi"/>
          <w:b/>
        </w:rPr>
        <w:t>Traite des personnes</w:t>
      </w:r>
    </w:p>
    <w:p w14:paraId="7BE51552" w14:textId="77777777" w:rsidR="00E02032" w:rsidRPr="00AB1CF4" w:rsidRDefault="00E02032" w:rsidP="00E02032">
      <w:pPr>
        <w:jc w:val="both"/>
        <w:rPr>
          <w:rFonts w:cstheme="minorHAnsi"/>
        </w:rPr>
      </w:pPr>
      <w:r w:rsidRPr="00AB1CF4">
        <w:rPr>
          <w:rFonts w:cstheme="minorHAnsi"/>
        </w:rPr>
        <w:lastRenderedPageBreak/>
        <w:t>Le recrutement, le transport, le transfert, l’hébergement ou l’accueil de personnes, par la menace de recours ou le recours à la force ou à d’autres formes de contrainte, par enlèvement, fraude, tromperie, abus d’autorité ou d’une situation de vulnérabilité, ou par l’offre ou l’acceptation de paiements ou d’avantages pour obtenir le consentement d’une personne ayant autorité sur une autre aux fins d’exploitation. L’exploitation comprend, au minimum, l’exploitation de la prostitution d’autrui ou d’autres formes d’exploitation sexuelle, le travail ou les services forcés, l’esclavage ou les pratiques analogues à l’esclavage, la servitude ou le prélèvement d’organes (Nations Unies 2000. Protocole visant à prévenir, réprimer et punir la traite des personnes, en particulier des femmes et des enfants).</w:t>
      </w:r>
    </w:p>
    <w:p w14:paraId="1E6FD869" w14:textId="77777777" w:rsidR="00E02032" w:rsidRPr="00AB1CF4" w:rsidRDefault="00E02032" w:rsidP="00E02032">
      <w:pPr>
        <w:jc w:val="both"/>
        <w:rPr>
          <w:rFonts w:cstheme="minorHAnsi"/>
          <w:b/>
        </w:rPr>
      </w:pPr>
      <w:r w:rsidRPr="00AB1CF4">
        <w:rPr>
          <w:rFonts w:cstheme="minorHAnsi"/>
          <w:b/>
        </w:rPr>
        <w:t>Approche centrée sur les survivants</w:t>
      </w:r>
    </w:p>
    <w:p w14:paraId="43CE0418" w14:textId="77777777" w:rsidR="00E02032" w:rsidRPr="00AB1CF4" w:rsidRDefault="00E02032" w:rsidP="00E02032">
      <w:pPr>
        <w:jc w:val="both"/>
        <w:rPr>
          <w:rFonts w:cstheme="minorHAnsi"/>
        </w:rPr>
      </w:pPr>
      <w:r w:rsidRPr="00AB1CF4">
        <w:rPr>
          <w:rFonts w:cstheme="minorHAnsi"/>
        </w:rPr>
        <w:t>« L’approche centrée sur les survivants se fonde sur un ensemble de principes et de compétences conçus pour guider les professionnels — quel que soit leur rôle — dans leurs échanges avec les survivants (surtout les femmes et les filles, mais aussi les hommes et les garçons) de violences sexuelles ou d’autres formes de violence. L’approche centrée sur les survivants vise à créer un environnement favorable dans lequel les droits des intéressés sont respectés et privilégiés, et dans lequel les survivants sont traitées avec dignité et respect. Cette approche aide à promouvoir le rétablissement de la survivant et sa capacité à identifier et exprimer ses besoins et souhaits, ainsi qu’à renforcer sa capacité à prendre des décisions sur d’éventuelles interventions »</w:t>
      </w:r>
      <w:r w:rsidRPr="00AB1CF4">
        <w:rPr>
          <w:rStyle w:val="FootnoteReference"/>
          <w:rFonts w:cstheme="minorHAnsi"/>
        </w:rPr>
        <w:footnoteReference w:id="50"/>
      </w:r>
      <w:r w:rsidRPr="00AB1CF4">
        <w:rPr>
          <w:rFonts w:cstheme="minorHAnsi"/>
        </w:rPr>
        <w:t>.</w:t>
      </w:r>
    </w:p>
    <w:p w14:paraId="517FDF4A" w14:textId="77777777" w:rsidR="00E02032" w:rsidRPr="00AB1CF4" w:rsidRDefault="00E02032" w:rsidP="00E02032">
      <w:pPr>
        <w:rPr>
          <w:rFonts w:cstheme="minorHAnsi"/>
        </w:rPr>
      </w:pPr>
      <w:r w:rsidRPr="00AB1CF4">
        <w:rPr>
          <w:rFonts w:cstheme="minorHAnsi"/>
        </w:rPr>
        <w:br w:type="page"/>
      </w:r>
    </w:p>
    <w:p w14:paraId="31A5FA2B" w14:textId="77777777" w:rsidR="00E02032" w:rsidRDefault="00E02032" w:rsidP="00E02032">
      <w:pPr>
        <w:spacing w:line="240" w:lineRule="auto"/>
        <w:jc w:val="both"/>
        <w:rPr>
          <w:lang w:bidi="fr-FR"/>
        </w:rPr>
      </w:pPr>
      <w:bookmarkStart w:id="32" w:name="_Toc68269628"/>
      <w:r w:rsidRPr="00E575A0">
        <w:rPr>
          <w:rStyle w:val="Heading3Char"/>
        </w:rPr>
        <w:lastRenderedPageBreak/>
        <w:t xml:space="preserve">Annexe 2 : </w:t>
      </w:r>
      <w:r>
        <w:rPr>
          <w:rStyle w:val="Heading3Char"/>
        </w:rPr>
        <w:t xml:space="preserve">Statistiques </w:t>
      </w:r>
      <w:r w:rsidRPr="00E575A0">
        <w:rPr>
          <w:rStyle w:val="Heading3Char"/>
        </w:rPr>
        <w:t>VBG et EAS en milieu scolaire</w:t>
      </w:r>
      <w:bookmarkEnd w:id="32"/>
      <w:r>
        <w:rPr>
          <w:lang w:bidi="fr-FR"/>
        </w:rPr>
        <w:t xml:space="preserve">  </w:t>
      </w:r>
      <w:r>
        <w:rPr>
          <w:rStyle w:val="FootnoteReference"/>
          <w:lang w:bidi="fr-FR"/>
        </w:rPr>
        <w:footnoteReference w:id="51"/>
      </w:r>
      <w:r>
        <w:rPr>
          <w:lang w:bidi="fr-FR"/>
        </w:rPr>
        <w:t xml:space="preserve"> </w:t>
      </w:r>
    </w:p>
    <w:p w14:paraId="477B06C2" w14:textId="77777777" w:rsidR="00E02032" w:rsidRDefault="00E02032" w:rsidP="00E02032">
      <w:pPr>
        <w:pStyle w:val="IntenseQuote"/>
        <w:pBdr>
          <w:top w:val="single" w:sz="4" w:space="15" w:color="4472C4" w:themeColor="accent1"/>
        </w:pBdr>
        <w:spacing w:line="240" w:lineRule="auto"/>
        <w:rPr>
          <w:lang w:eastAsia="fr-FR"/>
        </w:rPr>
      </w:pPr>
      <w:r>
        <w:rPr>
          <w:lang w:eastAsia="fr-FR"/>
        </w:rPr>
        <w:t>Tableau A</w:t>
      </w:r>
      <w:r w:rsidRPr="008A2371">
        <w:rPr>
          <w:lang w:eastAsia="fr-FR"/>
        </w:rPr>
        <w:t xml:space="preserve"> : Proportions d’enquêtés ayant été victimes d’actes de violence au cours des 12 derniers mois par type d’acte et par sexe selon certaines caractéristiques </w:t>
      </w:r>
    </w:p>
    <w:p w14:paraId="55BF10B9" w14:textId="77777777" w:rsidR="00E02032" w:rsidRDefault="00E02032" w:rsidP="00E02032">
      <w:pPr>
        <w:spacing w:line="240" w:lineRule="auto"/>
        <w:rPr>
          <w:lang w:bidi="fr-FR"/>
        </w:rPr>
      </w:pPr>
      <w:r w:rsidRPr="00640748">
        <w:rPr>
          <w:noProof/>
          <w:lang w:eastAsia="fr-FR"/>
        </w:rPr>
        <w:drawing>
          <wp:inline distT="0" distB="0" distL="0" distR="0" wp14:anchorId="13763E3B" wp14:editId="3A3E27FD">
            <wp:extent cx="5760398" cy="3686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26313"/>
                    <a:stretch/>
                  </pic:blipFill>
                  <pic:spPr bwMode="auto">
                    <a:xfrm>
                      <a:off x="0" y="0"/>
                      <a:ext cx="5761972" cy="3687182"/>
                    </a:xfrm>
                    <a:prstGeom prst="rect">
                      <a:avLst/>
                    </a:prstGeom>
                    <a:ln>
                      <a:noFill/>
                    </a:ln>
                    <a:extLst>
                      <a:ext uri="{53640926-AAD7-44D8-BBD7-CCE9431645EC}">
                        <a14:shadowObscured xmlns:a14="http://schemas.microsoft.com/office/drawing/2010/main"/>
                      </a:ext>
                    </a:extLst>
                  </pic:spPr>
                </pic:pic>
              </a:graphicData>
            </a:graphic>
          </wp:inline>
        </w:drawing>
      </w:r>
    </w:p>
    <w:p w14:paraId="1DF177A7" w14:textId="77777777" w:rsidR="00E02032" w:rsidRPr="00095243" w:rsidRDefault="00E02032" w:rsidP="00E02032">
      <w:pPr>
        <w:shd w:val="clear" w:color="auto" w:fill="FFFFFF"/>
        <w:spacing w:after="120" w:line="240" w:lineRule="auto"/>
        <w:jc w:val="center"/>
        <w:outlineLvl w:val="1"/>
        <w:rPr>
          <w:rStyle w:val="FootnoteReference"/>
        </w:rPr>
      </w:pPr>
      <w:bookmarkStart w:id="33" w:name="_Toc57037167"/>
      <w:bookmarkStart w:id="34" w:name="_Toc68206094"/>
      <w:bookmarkStart w:id="35" w:name="_Toc68254809"/>
      <w:bookmarkStart w:id="36" w:name="_Toc68254891"/>
      <w:bookmarkStart w:id="37" w:name="_Toc68254925"/>
      <w:bookmarkStart w:id="38" w:name="_Toc68255321"/>
      <w:bookmarkStart w:id="39" w:name="_Toc68269629"/>
      <w:r w:rsidRPr="00095243">
        <w:rPr>
          <w:rStyle w:val="FootnoteReference"/>
        </w:rPr>
        <w:t>Source : Enquête EVBG réalisée dans 7 des 11 préfectures de la RCA, UNFPA, 2011.</w:t>
      </w:r>
      <w:bookmarkEnd w:id="33"/>
      <w:bookmarkEnd w:id="34"/>
      <w:bookmarkEnd w:id="35"/>
      <w:bookmarkEnd w:id="36"/>
      <w:bookmarkEnd w:id="37"/>
      <w:bookmarkEnd w:id="38"/>
      <w:bookmarkEnd w:id="39"/>
    </w:p>
    <w:p w14:paraId="53881177" w14:textId="77777777" w:rsidR="00E02032" w:rsidRPr="00AB1CF4" w:rsidRDefault="00E02032" w:rsidP="00E02032">
      <w:pPr>
        <w:rPr>
          <w:rFonts w:cstheme="minorHAnsi"/>
        </w:rPr>
      </w:pPr>
      <w:r w:rsidRPr="00AB1CF4">
        <w:rPr>
          <w:rFonts w:cstheme="minorHAnsi"/>
        </w:rPr>
        <w:br w:type="page"/>
      </w:r>
    </w:p>
    <w:p w14:paraId="2612ED3B" w14:textId="77777777" w:rsidR="00E02032" w:rsidRPr="00FE031C" w:rsidRDefault="00E02032" w:rsidP="00FE031C">
      <w:pPr>
        <w:pStyle w:val="Heading3"/>
      </w:pPr>
      <w:bookmarkStart w:id="40" w:name="_Toc68269630"/>
      <w:r w:rsidRPr="00FE031C">
        <w:lastRenderedPageBreak/>
        <w:t>Annexe 3 : Cadre juridique et institutionnel</w:t>
      </w:r>
      <w:bookmarkEnd w:id="40"/>
      <w:r w:rsidRPr="00FE031C">
        <w:t xml:space="preserve"> </w:t>
      </w:r>
    </w:p>
    <w:p w14:paraId="3F23B298" w14:textId="77777777" w:rsidR="00E02032" w:rsidRDefault="00E02032" w:rsidP="00E02032">
      <w:pPr>
        <w:spacing w:after="120" w:line="240" w:lineRule="auto"/>
        <w:jc w:val="both"/>
      </w:pPr>
    </w:p>
    <w:p w14:paraId="578759F8" w14:textId="77777777" w:rsidR="00E02032" w:rsidRPr="00FE031C" w:rsidRDefault="00E02032" w:rsidP="00FE031C">
      <w:pPr>
        <w:rPr>
          <w:b/>
          <w:bCs/>
          <w:lang w:bidi="fr-FR"/>
        </w:rPr>
      </w:pPr>
      <w:r w:rsidRPr="00FE031C">
        <w:rPr>
          <w:b/>
          <w:bCs/>
          <w:lang w:bidi="fr-FR"/>
        </w:rPr>
        <w:t xml:space="preserve">Cadre juridique international et national </w:t>
      </w:r>
    </w:p>
    <w:p w14:paraId="7E935662" w14:textId="77777777" w:rsidR="00E02032" w:rsidRPr="00F8125A" w:rsidRDefault="00E02032" w:rsidP="00E02032">
      <w:pPr>
        <w:pStyle w:val="IntenseQuote"/>
        <w:spacing w:line="240" w:lineRule="auto"/>
      </w:pPr>
      <w:r>
        <w:t xml:space="preserve">Tableau A . </w:t>
      </w:r>
      <w:r w:rsidRPr="00F8125A">
        <w:t xml:space="preserve"> Instruments internationaux ratifiés par la RCA</w:t>
      </w:r>
    </w:p>
    <w:tbl>
      <w:tblPr>
        <w:tblStyle w:val="TableGrid"/>
        <w:tblW w:w="0" w:type="auto"/>
        <w:tblLook w:val="04A0" w:firstRow="1" w:lastRow="0" w:firstColumn="1" w:lastColumn="0" w:noHBand="0" w:noVBand="1"/>
      </w:tblPr>
      <w:tblGrid>
        <w:gridCol w:w="6761"/>
        <w:gridCol w:w="2255"/>
      </w:tblGrid>
      <w:tr w:rsidR="00E02032" w:rsidRPr="005975E7" w14:paraId="7D630972" w14:textId="77777777" w:rsidTr="00233C12">
        <w:tc>
          <w:tcPr>
            <w:tcW w:w="6799" w:type="dxa"/>
          </w:tcPr>
          <w:p w14:paraId="7565DEE4" w14:textId="77777777" w:rsidR="00E02032" w:rsidRPr="005975E7" w:rsidRDefault="00E02032" w:rsidP="00233C12">
            <w:pPr>
              <w:spacing w:after="120"/>
              <w:jc w:val="center"/>
              <w:rPr>
                <w:rFonts w:cstheme="minorHAnsi"/>
                <w:b/>
              </w:rPr>
            </w:pPr>
            <w:r w:rsidRPr="005975E7">
              <w:rPr>
                <w:rFonts w:cstheme="minorHAnsi"/>
                <w:b/>
              </w:rPr>
              <w:t>Instruments</w:t>
            </w:r>
            <w:r>
              <w:rPr>
                <w:rFonts w:cstheme="minorHAnsi"/>
                <w:b/>
              </w:rPr>
              <w:t xml:space="preserve"> internationaux</w:t>
            </w:r>
          </w:p>
        </w:tc>
        <w:tc>
          <w:tcPr>
            <w:tcW w:w="2263" w:type="dxa"/>
          </w:tcPr>
          <w:p w14:paraId="6024C33E" w14:textId="77777777" w:rsidR="00E02032" w:rsidRPr="005975E7" w:rsidRDefault="00E02032" w:rsidP="00233C12">
            <w:pPr>
              <w:spacing w:after="120"/>
              <w:jc w:val="center"/>
              <w:rPr>
                <w:rFonts w:cstheme="minorHAnsi"/>
                <w:b/>
              </w:rPr>
            </w:pPr>
            <w:r w:rsidRPr="005975E7">
              <w:rPr>
                <w:rFonts w:cstheme="minorHAnsi"/>
                <w:b/>
              </w:rPr>
              <w:t>Date de ratification</w:t>
            </w:r>
          </w:p>
        </w:tc>
      </w:tr>
      <w:tr w:rsidR="00E02032" w14:paraId="13347248" w14:textId="77777777" w:rsidTr="00233C12">
        <w:tc>
          <w:tcPr>
            <w:tcW w:w="6799" w:type="dxa"/>
          </w:tcPr>
          <w:p w14:paraId="5B6E5824" w14:textId="77777777" w:rsidR="00E02032" w:rsidRPr="00857584" w:rsidRDefault="00E02032" w:rsidP="00233C12">
            <w:pPr>
              <w:spacing w:after="120"/>
              <w:rPr>
                <w:rFonts w:cstheme="minorHAnsi"/>
                <w:b/>
              </w:rPr>
            </w:pPr>
            <w:r w:rsidRPr="00857584">
              <w:rPr>
                <w:b/>
              </w:rPr>
              <w:t>Convention pour l’Élimination de toutes les formes de Discrimination à l’Égard de la femme (CEDEF)</w:t>
            </w:r>
          </w:p>
        </w:tc>
        <w:tc>
          <w:tcPr>
            <w:tcW w:w="2263" w:type="dxa"/>
          </w:tcPr>
          <w:p w14:paraId="3338557D" w14:textId="77777777" w:rsidR="00E02032" w:rsidRDefault="00E02032" w:rsidP="00233C12">
            <w:pPr>
              <w:spacing w:after="120"/>
              <w:jc w:val="center"/>
              <w:rPr>
                <w:rFonts w:cstheme="minorHAnsi"/>
              </w:rPr>
            </w:pPr>
            <w:r>
              <w:rPr>
                <w:rFonts w:cstheme="minorHAnsi"/>
              </w:rPr>
              <w:t>1991</w:t>
            </w:r>
          </w:p>
        </w:tc>
      </w:tr>
      <w:tr w:rsidR="00E02032" w14:paraId="7A88F01A" w14:textId="77777777" w:rsidTr="00233C12">
        <w:tc>
          <w:tcPr>
            <w:tcW w:w="6799" w:type="dxa"/>
          </w:tcPr>
          <w:p w14:paraId="5E10EDC6" w14:textId="77777777" w:rsidR="00E02032" w:rsidRPr="00857584" w:rsidRDefault="00E02032" w:rsidP="00233C12">
            <w:pPr>
              <w:spacing w:after="120"/>
              <w:rPr>
                <w:b/>
              </w:rPr>
            </w:pPr>
            <w:r>
              <w:rPr>
                <w:b/>
              </w:rPr>
              <w:t>Convention pour élimination de toutes les formes de discrimination à l’égard de la femme de 1979</w:t>
            </w:r>
          </w:p>
        </w:tc>
        <w:tc>
          <w:tcPr>
            <w:tcW w:w="2263" w:type="dxa"/>
          </w:tcPr>
          <w:p w14:paraId="4A7EB8EB" w14:textId="77777777" w:rsidR="00E02032" w:rsidRDefault="00E02032" w:rsidP="00233C12">
            <w:pPr>
              <w:spacing w:after="120"/>
              <w:jc w:val="center"/>
              <w:rPr>
                <w:rFonts w:cstheme="minorHAnsi"/>
              </w:rPr>
            </w:pPr>
          </w:p>
        </w:tc>
      </w:tr>
      <w:tr w:rsidR="00E02032" w14:paraId="20008C21" w14:textId="77777777" w:rsidTr="00233C12">
        <w:tc>
          <w:tcPr>
            <w:tcW w:w="6799" w:type="dxa"/>
          </w:tcPr>
          <w:p w14:paraId="72700263" w14:textId="77777777" w:rsidR="00E02032" w:rsidRPr="00857584" w:rsidRDefault="00E02032" w:rsidP="00233C12">
            <w:pPr>
              <w:spacing w:after="120"/>
              <w:rPr>
                <w:rFonts w:cstheme="minorHAnsi"/>
                <w:b/>
              </w:rPr>
            </w:pPr>
            <w:r w:rsidRPr="00857584">
              <w:rPr>
                <w:b/>
              </w:rPr>
              <w:t xml:space="preserve">Convention relative aux droits de l’enfant du 20 novembre 1989 </w:t>
            </w:r>
          </w:p>
        </w:tc>
        <w:tc>
          <w:tcPr>
            <w:tcW w:w="2263" w:type="dxa"/>
          </w:tcPr>
          <w:p w14:paraId="4E18945D" w14:textId="77777777" w:rsidR="00E02032" w:rsidRDefault="00E02032" w:rsidP="00233C12">
            <w:pPr>
              <w:spacing w:after="120"/>
              <w:jc w:val="center"/>
              <w:rPr>
                <w:rFonts w:cstheme="minorHAnsi"/>
              </w:rPr>
            </w:pPr>
            <w:r>
              <w:rPr>
                <w:rFonts w:cstheme="minorHAnsi"/>
              </w:rPr>
              <w:t>1992</w:t>
            </w:r>
          </w:p>
        </w:tc>
      </w:tr>
      <w:tr w:rsidR="00E02032" w14:paraId="5DBEBBAB" w14:textId="77777777" w:rsidTr="00233C12">
        <w:tc>
          <w:tcPr>
            <w:tcW w:w="6799" w:type="dxa"/>
          </w:tcPr>
          <w:p w14:paraId="500C8762" w14:textId="77777777" w:rsidR="00E02032" w:rsidRPr="00857584" w:rsidRDefault="00E02032" w:rsidP="00233C12">
            <w:pPr>
              <w:spacing w:after="120"/>
              <w:rPr>
                <w:b/>
              </w:rPr>
            </w:pPr>
            <w:r w:rsidRPr="00857584">
              <w:rPr>
                <w:b/>
              </w:rPr>
              <w:t xml:space="preserve">Protocoles additionnels à la Convention relative aux droits de l’enfant dont l’un concerne l’implication d’enfants dans les conflits armés et l’autre dans la vente d’enfants et la pornographie mettant en scène des enfants </w:t>
            </w:r>
          </w:p>
        </w:tc>
        <w:tc>
          <w:tcPr>
            <w:tcW w:w="2263" w:type="dxa"/>
          </w:tcPr>
          <w:p w14:paraId="0BB299B0" w14:textId="77777777" w:rsidR="00E02032" w:rsidRDefault="00E02032" w:rsidP="00233C12">
            <w:pPr>
              <w:spacing w:after="120"/>
              <w:jc w:val="center"/>
              <w:rPr>
                <w:rFonts w:cstheme="minorHAnsi"/>
              </w:rPr>
            </w:pPr>
            <w:r w:rsidRPr="007C3C20">
              <w:t>2012</w:t>
            </w:r>
            <w:r w:rsidRPr="007C760D">
              <w:rPr>
                <w:rFonts w:ascii="Times New Roman" w:eastAsia="Times New Roman" w:hAnsi="Times New Roman" w:cs="Times New Roman"/>
                <w:color w:val="000000"/>
                <w:sz w:val="27"/>
                <w:szCs w:val="27"/>
                <w:lang w:eastAsia="fr-FR"/>
              </w:rPr>
              <w:t> </w:t>
            </w:r>
          </w:p>
        </w:tc>
      </w:tr>
      <w:tr w:rsidR="00E02032" w14:paraId="3573D9EF" w14:textId="77777777" w:rsidTr="00233C12">
        <w:tc>
          <w:tcPr>
            <w:tcW w:w="6799" w:type="dxa"/>
          </w:tcPr>
          <w:p w14:paraId="79327AF1" w14:textId="77777777" w:rsidR="00E02032" w:rsidRPr="007D6EE7" w:rsidRDefault="00E02032" w:rsidP="00233C12">
            <w:pPr>
              <w:spacing w:after="120"/>
            </w:pPr>
            <w:r w:rsidRPr="00857584">
              <w:rPr>
                <w:b/>
              </w:rPr>
              <w:t>Protocole additionnel à la Charte Africaine des Droits de l’Homme et des peuples relatifs aux droits de la femme</w:t>
            </w:r>
            <w:r w:rsidRPr="00857584">
              <w:t xml:space="preserve"> </w:t>
            </w:r>
          </w:p>
        </w:tc>
        <w:tc>
          <w:tcPr>
            <w:tcW w:w="2263" w:type="dxa"/>
          </w:tcPr>
          <w:p w14:paraId="20A35801" w14:textId="77777777" w:rsidR="00E02032" w:rsidRPr="007C3C20" w:rsidRDefault="00E02032" w:rsidP="00233C12">
            <w:pPr>
              <w:spacing w:after="120"/>
              <w:jc w:val="center"/>
            </w:pPr>
            <w:r w:rsidRPr="007C3C20">
              <w:t>2012</w:t>
            </w:r>
            <w:r w:rsidRPr="007C760D">
              <w:rPr>
                <w:rFonts w:ascii="Times New Roman" w:eastAsia="Times New Roman" w:hAnsi="Times New Roman" w:cs="Times New Roman"/>
                <w:color w:val="000000"/>
                <w:sz w:val="27"/>
                <w:szCs w:val="27"/>
                <w:lang w:eastAsia="fr-FR"/>
              </w:rPr>
              <w:t> </w:t>
            </w:r>
          </w:p>
        </w:tc>
      </w:tr>
    </w:tbl>
    <w:p w14:paraId="387C68D0" w14:textId="77777777" w:rsidR="00E02032" w:rsidRPr="00AF7264" w:rsidRDefault="00E02032" w:rsidP="00E02032">
      <w:pPr>
        <w:spacing w:line="240" w:lineRule="auto"/>
        <w:rPr>
          <w:lang w:bidi="fr-FR"/>
        </w:rPr>
      </w:pPr>
    </w:p>
    <w:p w14:paraId="17CDB5E0" w14:textId="77777777" w:rsidR="00E02032" w:rsidRPr="00484542" w:rsidRDefault="00E02032" w:rsidP="00E02032">
      <w:pPr>
        <w:pStyle w:val="IntenseQuote"/>
        <w:spacing w:line="240" w:lineRule="auto"/>
      </w:pPr>
      <w:r>
        <w:t>Tableau B.</w:t>
      </w:r>
      <w:r w:rsidRPr="00F8125A">
        <w:t>  Instruments juridiques de la RCA</w:t>
      </w:r>
    </w:p>
    <w:tbl>
      <w:tblPr>
        <w:tblStyle w:val="TableGrid"/>
        <w:tblW w:w="0" w:type="auto"/>
        <w:tblLook w:val="04A0" w:firstRow="1" w:lastRow="0" w:firstColumn="1" w:lastColumn="0" w:noHBand="0" w:noVBand="1"/>
      </w:tblPr>
      <w:tblGrid>
        <w:gridCol w:w="3539"/>
        <w:gridCol w:w="5387"/>
      </w:tblGrid>
      <w:tr w:rsidR="00E02032" w:rsidRPr="00046392" w14:paraId="29F556F2" w14:textId="77777777" w:rsidTr="00233C12">
        <w:tc>
          <w:tcPr>
            <w:tcW w:w="3539" w:type="dxa"/>
          </w:tcPr>
          <w:p w14:paraId="49C722B3" w14:textId="77777777" w:rsidR="00E02032" w:rsidRPr="00046392" w:rsidRDefault="00E02032" w:rsidP="00233C12">
            <w:pPr>
              <w:spacing w:after="120"/>
              <w:jc w:val="center"/>
              <w:rPr>
                <w:rFonts w:cstheme="minorHAnsi"/>
                <w:b/>
              </w:rPr>
            </w:pPr>
            <w:r w:rsidRPr="00046392">
              <w:rPr>
                <w:rFonts w:cstheme="minorHAnsi"/>
                <w:b/>
              </w:rPr>
              <w:t>Instruments juridiques nationaux</w:t>
            </w:r>
          </w:p>
        </w:tc>
        <w:tc>
          <w:tcPr>
            <w:tcW w:w="5387" w:type="dxa"/>
          </w:tcPr>
          <w:p w14:paraId="778AFC13" w14:textId="77777777" w:rsidR="00E02032" w:rsidRPr="00046392" w:rsidRDefault="00E02032" w:rsidP="00233C12">
            <w:pPr>
              <w:spacing w:after="120"/>
              <w:jc w:val="center"/>
              <w:rPr>
                <w:rFonts w:cstheme="minorHAnsi"/>
                <w:b/>
              </w:rPr>
            </w:pPr>
            <w:r w:rsidRPr="00046392">
              <w:rPr>
                <w:rFonts w:cstheme="minorHAnsi"/>
                <w:b/>
              </w:rPr>
              <w:t>Commentaires</w:t>
            </w:r>
          </w:p>
        </w:tc>
      </w:tr>
      <w:tr w:rsidR="00E02032" w14:paraId="52B7EA65" w14:textId="77777777" w:rsidTr="00233C12">
        <w:tc>
          <w:tcPr>
            <w:tcW w:w="3539" w:type="dxa"/>
          </w:tcPr>
          <w:p w14:paraId="44154713" w14:textId="77777777" w:rsidR="00E02032" w:rsidRPr="00046392" w:rsidRDefault="00E02032" w:rsidP="00233C12">
            <w:pPr>
              <w:spacing w:after="120"/>
              <w:jc w:val="both"/>
              <w:rPr>
                <w:rFonts w:cstheme="minorHAnsi"/>
                <w:b/>
              </w:rPr>
            </w:pPr>
            <w:r w:rsidRPr="00046392">
              <w:rPr>
                <w:b/>
              </w:rPr>
              <w:t xml:space="preserve">Constitution de la République Centrafricaine du </w:t>
            </w:r>
            <w:r w:rsidRPr="00046392">
              <w:rPr>
                <w:rFonts w:cstheme="minorHAnsi"/>
                <w:b/>
              </w:rPr>
              <w:t>30 mars 2016</w:t>
            </w:r>
          </w:p>
        </w:tc>
        <w:tc>
          <w:tcPr>
            <w:tcW w:w="5387" w:type="dxa"/>
          </w:tcPr>
          <w:p w14:paraId="7F54707A" w14:textId="77777777" w:rsidR="00E02032" w:rsidRDefault="00E02032" w:rsidP="00233C12">
            <w:pPr>
              <w:spacing w:after="120"/>
              <w:jc w:val="both"/>
            </w:pPr>
            <w:r w:rsidRPr="00046392">
              <w:rPr>
                <w:rFonts w:cstheme="minorHAnsi"/>
                <w:b/>
                <w:i/>
              </w:rPr>
              <w:t>Articles 1 et 2</w:t>
            </w:r>
            <w:r>
              <w:rPr>
                <w:rFonts w:cstheme="minorHAnsi"/>
              </w:rPr>
              <w:t xml:space="preserve"> reconnaissent </w:t>
            </w:r>
            <w:r>
              <w:t xml:space="preserve">l’existence des droits de l’homme comme base de toute communauté humaine, de la paix et de la justice. </w:t>
            </w:r>
          </w:p>
          <w:p w14:paraId="656BEA96" w14:textId="77777777" w:rsidR="00E02032" w:rsidRDefault="00E02032" w:rsidP="00233C12">
            <w:pPr>
              <w:spacing w:after="120"/>
              <w:jc w:val="both"/>
            </w:pPr>
            <w:r w:rsidRPr="00046392">
              <w:rPr>
                <w:b/>
                <w:i/>
              </w:rPr>
              <w:t>Article 3</w:t>
            </w:r>
            <w:r>
              <w:t xml:space="preserve"> </w:t>
            </w:r>
            <w:r w:rsidRPr="00EB61C8">
              <w:t>alinéa 2</w:t>
            </w:r>
            <w:r>
              <w:rPr>
                <w:rFonts w:ascii="Times New Roman" w:hAnsi="Times New Roman" w:cs="Times New Roman"/>
              </w:rPr>
              <w:t xml:space="preserve"> </w:t>
            </w:r>
            <w:r>
              <w:t xml:space="preserve">reconnait que chacun, sans aucune distinction notamment de sexe, a droit à la vie et à l’intégrité physique et morale et que nul ne sera soumis au viol. </w:t>
            </w:r>
          </w:p>
          <w:p w14:paraId="7813567A" w14:textId="77777777" w:rsidR="00E02032" w:rsidRDefault="00E02032" w:rsidP="00233C12">
            <w:pPr>
              <w:spacing w:after="120"/>
              <w:jc w:val="both"/>
            </w:pPr>
            <w:r w:rsidRPr="00046392">
              <w:rPr>
                <w:b/>
                <w:i/>
              </w:rPr>
              <w:t>Article 7 alinéa 5</w:t>
            </w:r>
            <w:r>
              <w:t xml:space="preserve"> fait obligation à L’État et autres collectivités publiques de protéger la femme et l’enfant contre la violence et l’insécurité, l’exploitation et l’abandon moral, intellectuel et physique ; et d’assurer cette protection par des mesures et des institutions appropriées.</w:t>
            </w:r>
          </w:p>
          <w:p w14:paraId="18E98C4B" w14:textId="77777777" w:rsidR="00E02032" w:rsidRDefault="00E02032" w:rsidP="00233C12">
            <w:pPr>
              <w:spacing w:after="120"/>
              <w:jc w:val="both"/>
              <w:rPr>
                <w:rFonts w:cstheme="minorHAnsi"/>
              </w:rPr>
            </w:pPr>
            <w:r w:rsidRPr="00EB61C8">
              <w:t xml:space="preserve">Cette loi fondamentale qui adhère aux instruments juridiques internationaux dûment ratifiés consacre le </w:t>
            </w:r>
            <w:r w:rsidRPr="00EB61C8">
              <w:lastRenderedPageBreak/>
              <w:t xml:space="preserve">cadre juridique de la protection </w:t>
            </w:r>
            <w:r>
              <w:t xml:space="preserve">des enfants, </w:t>
            </w:r>
            <w:r w:rsidRPr="00EB61C8">
              <w:t xml:space="preserve">des femmes et des filles contre les violences basées sur le genre. </w:t>
            </w:r>
          </w:p>
        </w:tc>
      </w:tr>
      <w:tr w:rsidR="00E02032" w14:paraId="7710411D" w14:textId="77777777" w:rsidTr="00233C12">
        <w:tc>
          <w:tcPr>
            <w:tcW w:w="3539" w:type="dxa"/>
          </w:tcPr>
          <w:p w14:paraId="74A7F3AA" w14:textId="77777777" w:rsidR="00E02032" w:rsidRPr="00EB249A" w:rsidRDefault="00E02032" w:rsidP="00233C12">
            <w:pPr>
              <w:spacing w:after="120"/>
              <w:jc w:val="both"/>
              <w:rPr>
                <w:b/>
              </w:rPr>
            </w:pPr>
            <w:r w:rsidRPr="00053669">
              <w:rPr>
                <w:b/>
              </w:rPr>
              <w:lastRenderedPageBreak/>
              <w:t>La loi n°20.016 du 15 juin 2020 portant Code de protection de l’enfant en République Centrafricaine</w:t>
            </w:r>
          </w:p>
        </w:tc>
        <w:tc>
          <w:tcPr>
            <w:tcW w:w="5387" w:type="dxa"/>
          </w:tcPr>
          <w:p w14:paraId="6A3BABD4" w14:textId="77777777" w:rsidR="00E02032" w:rsidRPr="00053669" w:rsidRDefault="00E02032" w:rsidP="00233C12">
            <w:pPr>
              <w:spacing w:after="120"/>
              <w:jc w:val="both"/>
            </w:pPr>
            <w:r w:rsidRPr="00293634">
              <w:rPr>
                <w:b/>
                <w:i/>
              </w:rPr>
              <w:t>Article 57</w:t>
            </w:r>
            <w:r w:rsidRPr="00053669">
              <w:t xml:space="preserve"> interdit toute relation sexuelle entre élève et/ou entre l’apprenant mineur et son enseignant ou tout responsable de son établissement.</w:t>
            </w:r>
          </w:p>
          <w:p w14:paraId="0E3BD396" w14:textId="77777777" w:rsidR="00E02032" w:rsidRPr="00053669" w:rsidRDefault="00E02032" w:rsidP="00233C12">
            <w:pPr>
              <w:spacing w:after="120"/>
              <w:jc w:val="both"/>
            </w:pPr>
            <w:r w:rsidRPr="00293634">
              <w:rPr>
                <w:b/>
                <w:i/>
                <w:iCs/>
              </w:rPr>
              <w:t>Article 63</w:t>
            </w:r>
            <w:r w:rsidRPr="00053669">
              <w:rPr>
                <w:b/>
              </w:rPr>
              <w:t xml:space="preserve"> </w:t>
            </w:r>
            <w:r w:rsidRPr="00053669">
              <w:t xml:space="preserve">interdit également les pires formes de travail des enfants notamment : l’esclavage ou pratiques analogues, le recrutement forcé ou obligatoire dans les conflits armés, l’utilisation ou le recrutement à des fins de prostitution, de production de matériel ou de spectacles pornographique, etc. </w:t>
            </w:r>
          </w:p>
          <w:p w14:paraId="2830E6BA" w14:textId="77777777" w:rsidR="00E02032" w:rsidRPr="00053669" w:rsidRDefault="00E02032" w:rsidP="00233C12">
            <w:pPr>
              <w:spacing w:after="120"/>
              <w:jc w:val="both"/>
            </w:pPr>
            <w:r w:rsidRPr="00293634">
              <w:rPr>
                <w:b/>
                <w:i/>
                <w:iCs/>
              </w:rPr>
              <w:t>Article 67</w:t>
            </w:r>
            <w:r w:rsidRPr="00053669">
              <w:t xml:space="preserve"> interdit toutes les formes d’exploitation sexuelle : le mariage forcé, l’incitation/encouragement à une activité sexuelle, l’utilisation ou le recrutement à des fins de pédophilie. </w:t>
            </w:r>
          </w:p>
        </w:tc>
      </w:tr>
      <w:tr w:rsidR="00E02032" w14:paraId="0AC0035C" w14:textId="77777777" w:rsidTr="00233C12">
        <w:tc>
          <w:tcPr>
            <w:tcW w:w="3539" w:type="dxa"/>
          </w:tcPr>
          <w:p w14:paraId="459EE3AE" w14:textId="77777777" w:rsidR="00E02032" w:rsidRPr="005F2D20" w:rsidRDefault="00E02032" w:rsidP="00233C12">
            <w:pPr>
              <w:spacing w:after="120"/>
              <w:jc w:val="both"/>
              <w:rPr>
                <w:b/>
              </w:rPr>
            </w:pPr>
            <w:r w:rsidRPr="005F2D20">
              <w:rPr>
                <w:b/>
              </w:rPr>
              <w:t>Loi n° 16.004 du 24 novembre 2016 instituant la parité entre les hommes et les femmes en République Centrafricaine</w:t>
            </w:r>
          </w:p>
        </w:tc>
        <w:tc>
          <w:tcPr>
            <w:tcW w:w="5387" w:type="dxa"/>
          </w:tcPr>
          <w:p w14:paraId="7B9164A5" w14:textId="77777777" w:rsidR="00E02032" w:rsidRDefault="00E02032" w:rsidP="00233C12">
            <w:pPr>
              <w:spacing w:after="120"/>
              <w:jc w:val="both"/>
              <w:rPr>
                <w:rFonts w:ascii="Times New Roman" w:hAnsi="Times New Roman" w:cs="Times New Roman"/>
                <w:sz w:val="24"/>
                <w:szCs w:val="24"/>
              </w:rPr>
            </w:pPr>
            <w:r w:rsidRPr="00857584">
              <w:t>L’article 1er institue la parité entre les hommes et les femmes dans les emplois publics, parapublics et privés, ainsi que dans les instances de prise de décision en RCA. Son article 7 stipule : « Un quota minimum de 35% des femmes est requis sur la base de leurs compétences, dans les instances de prise de décision à caractère nominatif et électif tant dans les structures étatiques que privées ». Les fonctions à caractère nominatif, sont « pourvues sur la base de l’égalité numérique entre les hommes et les femmes » (art.5)</w:t>
            </w:r>
            <w:r>
              <w:rPr>
                <w:rFonts w:ascii="Times New Roman" w:hAnsi="Times New Roman" w:cs="Times New Roman"/>
                <w:sz w:val="24"/>
                <w:szCs w:val="24"/>
              </w:rPr>
              <w:t>.</w:t>
            </w:r>
          </w:p>
          <w:p w14:paraId="13CF175D" w14:textId="77777777" w:rsidR="00E02032" w:rsidRPr="00046392" w:rsidRDefault="00E02032" w:rsidP="00233C12">
            <w:pPr>
              <w:spacing w:after="120"/>
              <w:jc w:val="both"/>
              <w:rPr>
                <w:rFonts w:cstheme="minorHAnsi"/>
                <w:b/>
                <w:i/>
              </w:rPr>
            </w:pPr>
            <w:r w:rsidRPr="00857584">
              <w:t>Cette loi constitue un grand bond dans les efforts de contribuer à l’équilibre entre les sexes dans toutes les sphères d’activités socioprofessionnelles.</w:t>
            </w:r>
          </w:p>
        </w:tc>
      </w:tr>
      <w:tr w:rsidR="00E02032" w14:paraId="1AF9247F" w14:textId="77777777" w:rsidTr="00233C12">
        <w:tc>
          <w:tcPr>
            <w:tcW w:w="3539" w:type="dxa"/>
          </w:tcPr>
          <w:p w14:paraId="034D9939" w14:textId="77777777" w:rsidR="00E02032" w:rsidRPr="00046392" w:rsidRDefault="00E02032" w:rsidP="00233C12">
            <w:pPr>
              <w:spacing w:after="120"/>
              <w:jc w:val="both"/>
              <w:rPr>
                <w:rFonts w:cstheme="minorHAnsi"/>
                <w:b/>
              </w:rPr>
            </w:pPr>
            <w:r w:rsidRPr="00046392">
              <w:rPr>
                <w:b/>
              </w:rPr>
              <w:t>La loi n° 97.013 du 11 novembre 1997 portant code de la famille en République centrafricaine</w:t>
            </w:r>
          </w:p>
        </w:tc>
        <w:tc>
          <w:tcPr>
            <w:tcW w:w="5387" w:type="dxa"/>
          </w:tcPr>
          <w:p w14:paraId="52FBC70B" w14:textId="77777777" w:rsidR="00E02032" w:rsidRDefault="00E02032" w:rsidP="00233C12">
            <w:pPr>
              <w:spacing w:after="120"/>
              <w:jc w:val="both"/>
            </w:pPr>
            <w:r>
              <w:t>Cette loi est en cours de révision compte tenu des contradictions qu’elle comporte par rapport aux instruments internationaux susmentionnés et d’autres textes de lois internes et des inégalités de genre qu’il contribue à perpétuer dans la société centrafricaine.</w:t>
            </w:r>
          </w:p>
          <w:p w14:paraId="200FD8B4" w14:textId="77777777" w:rsidR="00E02032" w:rsidRPr="00D008D2" w:rsidRDefault="00E02032" w:rsidP="00233C12">
            <w:pPr>
              <w:spacing w:after="120"/>
              <w:jc w:val="both"/>
            </w:pPr>
            <w:r>
              <w:t xml:space="preserve">Certaines dispositions du code de la famille </w:t>
            </w:r>
            <w:r w:rsidRPr="00857584">
              <w:t>interdi</w:t>
            </w:r>
            <w:r>
              <w:t>sent</w:t>
            </w:r>
            <w:r w:rsidRPr="00857584">
              <w:t xml:space="preserve"> en ses articles 1052 et suivants, toute forme de violences, sévices, et mauvais traitements au conjoint survivant lors des rites du veuvage. Il en est de même pour la confiscation des biens personnels de la femme lors du veuvage, du lévirat et du sororat. </w:t>
            </w:r>
          </w:p>
        </w:tc>
      </w:tr>
      <w:tr w:rsidR="00E02032" w14:paraId="3C54D2EC" w14:textId="77777777" w:rsidTr="00233C12">
        <w:tc>
          <w:tcPr>
            <w:tcW w:w="3539" w:type="dxa"/>
          </w:tcPr>
          <w:p w14:paraId="62F9CAF7" w14:textId="77777777" w:rsidR="00E02032" w:rsidRPr="00046392" w:rsidRDefault="00E02032" w:rsidP="00233C12">
            <w:pPr>
              <w:spacing w:after="120"/>
              <w:jc w:val="both"/>
              <w:rPr>
                <w:rFonts w:cstheme="minorHAnsi"/>
                <w:b/>
              </w:rPr>
            </w:pPr>
            <w:r w:rsidRPr="007C3C20">
              <w:rPr>
                <w:b/>
              </w:rPr>
              <w:t>Loi n°06.030 du 12 Septembre 2006 fixant les droits et obligations des personnes vivant avec le VIH</w:t>
            </w:r>
            <w:r w:rsidRPr="003622C6">
              <w:rPr>
                <w:rFonts w:ascii="Times New Roman" w:hAnsi="Times New Roman" w:cs="Times New Roman"/>
                <w:sz w:val="24"/>
                <w:szCs w:val="24"/>
              </w:rPr>
              <w:t> </w:t>
            </w:r>
          </w:p>
        </w:tc>
        <w:tc>
          <w:tcPr>
            <w:tcW w:w="5387" w:type="dxa"/>
          </w:tcPr>
          <w:p w14:paraId="23EC53BA" w14:textId="77777777" w:rsidR="00E02032" w:rsidRDefault="00E02032" w:rsidP="00233C12">
            <w:pPr>
              <w:spacing w:after="120"/>
              <w:jc w:val="both"/>
              <w:rPr>
                <w:rFonts w:cstheme="minorHAnsi"/>
              </w:rPr>
            </w:pPr>
            <w:r>
              <w:t>Cette loi consacre le principe de la non-discrimination à l’égard des personnes vivant avec le VIH/sida. Elle les protège contre la stigmatisation et le non-respect de leur vie privée, tout autant qu’elle leur impose les obligations de non-propagation volontaire sous peine de sanction.</w:t>
            </w:r>
          </w:p>
        </w:tc>
      </w:tr>
      <w:tr w:rsidR="00E02032" w14:paraId="640A4127" w14:textId="77777777" w:rsidTr="00233C12">
        <w:tc>
          <w:tcPr>
            <w:tcW w:w="3539" w:type="dxa"/>
          </w:tcPr>
          <w:p w14:paraId="1D2C8519" w14:textId="77777777" w:rsidR="00E02032" w:rsidRPr="003B0992" w:rsidRDefault="00E02032" w:rsidP="00233C12">
            <w:pPr>
              <w:spacing w:after="120"/>
              <w:jc w:val="both"/>
              <w:rPr>
                <w:b/>
              </w:rPr>
            </w:pPr>
            <w:r w:rsidRPr="00857584">
              <w:rPr>
                <w:b/>
              </w:rPr>
              <w:lastRenderedPageBreak/>
              <w:t xml:space="preserve">Loi </w:t>
            </w:r>
            <w:r>
              <w:rPr>
                <w:b/>
              </w:rPr>
              <w:t>N° 97.014 du 10 d</w:t>
            </w:r>
            <w:r w:rsidRPr="00857584">
              <w:rPr>
                <w:b/>
              </w:rPr>
              <w:t>écembre 1997 portant orientation de l’Éducation Nationale</w:t>
            </w:r>
          </w:p>
        </w:tc>
        <w:tc>
          <w:tcPr>
            <w:tcW w:w="5387" w:type="dxa"/>
          </w:tcPr>
          <w:p w14:paraId="4FFACFFF" w14:textId="77777777" w:rsidR="00E02032" w:rsidRDefault="00E02032" w:rsidP="00233C12">
            <w:pPr>
              <w:spacing w:after="120"/>
              <w:jc w:val="both"/>
            </w:pPr>
            <w:r>
              <w:t>Cette loi se fixe comme priorité l’éducation de base et comme l’un de ses objectifs principaux la scolarisation des filles et leur maintien dans le système éducatif. Par ailleurs, il existe au sein de ce Ministère un service chargé de la scolarisation des filles.</w:t>
            </w:r>
          </w:p>
        </w:tc>
      </w:tr>
      <w:tr w:rsidR="00E02032" w14:paraId="7380BEA1" w14:textId="77777777" w:rsidTr="00233C12">
        <w:tc>
          <w:tcPr>
            <w:tcW w:w="3539" w:type="dxa"/>
          </w:tcPr>
          <w:p w14:paraId="78725500" w14:textId="77777777" w:rsidR="00E02032" w:rsidRPr="00046392" w:rsidRDefault="00E02032" w:rsidP="00233C12">
            <w:pPr>
              <w:spacing w:after="120"/>
              <w:jc w:val="both"/>
              <w:rPr>
                <w:b/>
              </w:rPr>
            </w:pPr>
            <w:r w:rsidRPr="00046392">
              <w:rPr>
                <w:b/>
              </w:rPr>
              <w:t>Loi 06.005 du 20 juin 2006 relative à la Santé de la Reproduction</w:t>
            </w:r>
          </w:p>
        </w:tc>
        <w:tc>
          <w:tcPr>
            <w:tcW w:w="5387" w:type="dxa"/>
          </w:tcPr>
          <w:p w14:paraId="5533C70D" w14:textId="77777777" w:rsidR="00E02032" w:rsidRDefault="00E02032" w:rsidP="00233C12">
            <w:pPr>
              <w:spacing w:after="120"/>
              <w:jc w:val="both"/>
            </w:pPr>
            <w:r>
              <w:t>Cette loi garantit l’égalité en droit et en dignité de tous les individus en matière de santé de la reproduction, sans aucune discrimination basée sur le sexe.</w:t>
            </w:r>
          </w:p>
          <w:p w14:paraId="3E6826D9" w14:textId="77777777" w:rsidR="00E02032" w:rsidRPr="00857584" w:rsidRDefault="00E02032" w:rsidP="00233C12">
            <w:pPr>
              <w:spacing w:after="120"/>
              <w:jc w:val="both"/>
            </w:pPr>
            <w:r>
              <w:t>Par ailleurs, e</w:t>
            </w:r>
            <w:r w:rsidRPr="00857584">
              <w:t>lle offre l’accès aux services de santé aux femmes afin de leur permettre de mener à bien leur grossesse et accouchement.</w:t>
            </w:r>
          </w:p>
          <w:p w14:paraId="3CA7269A" w14:textId="77777777" w:rsidR="00E02032" w:rsidRPr="00D008D2" w:rsidRDefault="00E02032" w:rsidP="00233C12">
            <w:pPr>
              <w:spacing w:after="120"/>
              <w:jc w:val="both"/>
            </w:pPr>
            <w:r w:rsidRPr="00857584">
              <w:t xml:space="preserve">Dans son article 29, elle prévoit certains actes relatifs à toutes les formes de violences sexuelles dont les femmes et les enfants sont en général victimes et renvoie aux dispositions en vigueur pour la répression de ces infractions.  </w:t>
            </w:r>
          </w:p>
        </w:tc>
      </w:tr>
      <w:tr w:rsidR="00E02032" w14:paraId="5A64D63B" w14:textId="77777777" w:rsidTr="00233C12">
        <w:tc>
          <w:tcPr>
            <w:tcW w:w="3539" w:type="dxa"/>
          </w:tcPr>
          <w:p w14:paraId="2D1E1AC7" w14:textId="77777777" w:rsidR="00E02032" w:rsidRPr="00046392" w:rsidRDefault="00E02032" w:rsidP="00233C12">
            <w:pPr>
              <w:spacing w:after="120"/>
              <w:jc w:val="both"/>
              <w:rPr>
                <w:b/>
              </w:rPr>
            </w:pPr>
            <w:r w:rsidRPr="00046392">
              <w:rPr>
                <w:b/>
              </w:rPr>
              <w:t>Loi n° 10.001 du 6 janvier 2010 portant Code Pénal</w:t>
            </w:r>
          </w:p>
        </w:tc>
        <w:tc>
          <w:tcPr>
            <w:tcW w:w="5387" w:type="dxa"/>
          </w:tcPr>
          <w:p w14:paraId="76F61A88" w14:textId="77777777" w:rsidR="00E02032" w:rsidRPr="00D008D2" w:rsidRDefault="00E02032" w:rsidP="00233C12">
            <w:pPr>
              <w:spacing w:after="120"/>
              <w:jc w:val="both"/>
            </w:pPr>
            <w:r w:rsidRPr="00857584">
              <w:t>Le mérite d</w:t>
            </w:r>
            <w:r>
              <w:t>e ce nouveau</w:t>
            </w:r>
            <w:r w:rsidRPr="00857584">
              <w:t xml:space="preserve"> code pénal est que diverses infractions visant le genre, réputées crimes ou délits, sont prévues et réprimées par le nouveau code pénal. </w:t>
            </w:r>
            <w:r>
              <w:t>Il</w:t>
            </w:r>
            <w:r w:rsidRPr="00857584">
              <w:t xml:space="preserve"> a repris plusieurs dispositions de la loi portant protection des femmes contre les violences en République Centrafricaine et comblé certaines lacunes dues à l’absence de sanctions dans la loi n° 06.030 du 15 </w:t>
            </w:r>
            <w:r>
              <w:t>d</w:t>
            </w:r>
            <w:r w:rsidRPr="00857584">
              <w:t xml:space="preserve">écembre 2006. </w:t>
            </w:r>
          </w:p>
        </w:tc>
      </w:tr>
      <w:tr w:rsidR="00E02032" w14:paraId="4DDEE761" w14:textId="77777777" w:rsidTr="00233C12">
        <w:tc>
          <w:tcPr>
            <w:tcW w:w="3539" w:type="dxa"/>
          </w:tcPr>
          <w:p w14:paraId="697B74F7" w14:textId="77777777" w:rsidR="00E02032" w:rsidRPr="00046392" w:rsidRDefault="00E02032" w:rsidP="00233C12">
            <w:pPr>
              <w:spacing w:after="120"/>
              <w:jc w:val="both"/>
              <w:rPr>
                <w:b/>
              </w:rPr>
            </w:pPr>
            <w:r w:rsidRPr="00857584">
              <w:rPr>
                <w:b/>
              </w:rPr>
              <w:t xml:space="preserve">Loi n° 10.002 du 6 Janvier 2010 portant code de procédure pénale </w:t>
            </w:r>
          </w:p>
        </w:tc>
        <w:tc>
          <w:tcPr>
            <w:tcW w:w="5387" w:type="dxa"/>
          </w:tcPr>
          <w:p w14:paraId="40431846" w14:textId="77777777" w:rsidR="00E02032" w:rsidRPr="00857584" w:rsidRDefault="00E02032" w:rsidP="00233C12">
            <w:pPr>
              <w:spacing w:after="120"/>
              <w:jc w:val="both"/>
            </w:pPr>
            <w:r>
              <w:t>Cette loi p</w:t>
            </w:r>
            <w:r w:rsidRPr="00DC77F0">
              <w:t xml:space="preserve">révoit </w:t>
            </w:r>
            <w:r w:rsidRPr="00857584">
              <w:t xml:space="preserve">la procédure à suivre pour réprimer les différentes infractions à la loi pénale, entre autres les violences basées sur le genre. </w:t>
            </w:r>
          </w:p>
          <w:p w14:paraId="69070886" w14:textId="77777777" w:rsidR="00E02032" w:rsidRPr="00D9509D" w:rsidRDefault="00E02032" w:rsidP="00233C12">
            <w:pPr>
              <w:spacing w:after="120"/>
              <w:jc w:val="both"/>
            </w:pPr>
            <w:r w:rsidRPr="00857584">
              <w:t xml:space="preserve">L’article 2 du code de procédure pénale offre à tous ceux qui ont personnellement souffert du dommage directement causé par l’infraction d’engager une action civile en réparation du préjudice causé par un crime, un délit ou une contravention. </w:t>
            </w:r>
          </w:p>
        </w:tc>
      </w:tr>
      <w:tr w:rsidR="00E02032" w14:paraId="3A13FE0C" w14:textId="77777777" w:rsidTr="00233C12">
        <w:tc>
          <w:tcPr>
            <w:tcW w:w="3539" w:type="dxa"/>
          </w:tcPr>
          <w:p w14:paraId="7B5F40E3" w14:textId="77777777" w:rsidR="00E02032" w:rsidRPr="007C4E96" w:rsidRDefault="00E02032" w:rsidP="00233C12">
            <w:pPr>
              <w:spacing w:after="120"/>
              <w:jc w:val="both"/>
              <w:rPr>
                <w:b/>
              </w:rPr>
            </w:pPr>
            <w:r>
              <w:rPr>
                <w:b/>
              </w:rPr>
              <w:t>L</w:t>
            </w:r>
            <w:r w:rsidRPr="007C4E96">
              <w:rPr>
                <w:b/>
              </w:rPr>
              <w:t>oi n°06</w:t>
            </w:r>
            <w:r>
              <w:rPr>
                <w:b/>
              </w:rPr>
              <w:t>.0</w:t>
            </w:r>
            <w:r w:rsidRPr="007C4E96">
              <w:rPr>
                <w:b/>
              </w:rPr>
              <w:t xml:space="preserve">32 du </w:t>
            </w:r>
            <w:r>
              <w:rPr>
                <w:b/>
              </w:rPr>
              <w:t>15</w:t>
            </w:r>
            <w:r w:rsidRPr="007C4E96">
              <w:rPr>
                <w:b/>
              </w:rPr>
              <w:t xml:space="preserve"> décembre 2006 </w:t>
            </w:r>
            <w:r>
              <w:rPr>
                <w:b/>
              </w:rPr>
              <w:t xml:space="preserve">relative à la </w:t>
            </w:r>
            <w:r w:rsidRPr="007C4E96">
              <w:rPr>
                <w:b/>
              </w:rPr>
              <w:t>protection de la femme contre l</w:t>
            </w:r>
            <w:r>
              <w:rPr>
                <w:b/>
              </w:rPr>
              <w:t>es</w:t>
            </w:r>
            <w:r w:rsidRPr="007C4E96">
              <w:rPr>
                <w:b/>
              </w:rPr>
              <w:t xml:space="preserve"> violence</w:t>
            </w:r>
            <w:r>
              <w:rPr>
                <w:b/>
              </w:rPr>
              <w:t>s</w:t>
            </w:r>
            <w:r w:rsidRPr="007C4E96">
              <w:rPr>
                <w:b/>
              </w:rPr>
              <w:t xml:space="preserve"> en RCA </w:t>
            </w:r>
          </w:p>
        </w:tc>
        <w:tc>
          <w:tcPr>
            <w:tcW w:w="5387" w:type="dxa"/>
          </w:tcPr>
          <w:p w14:paraId="10493DB4" w14:textId="77777777" w:rsidR="00E02032" w:rsidRDefault="00E02032" w:rsidP="00233C12">
            <w:pPr>
              <w:spacing w:after="120"/>
              <w:jc w:val="both"/>
            </w:pPr>
            <w:r w:rsidRPr="00857584">
              <w:t xml:space="preserve">Le titre II de cette loi traite de la protection de la femme et notamment, les articles 11 à 17 qui organisent la protection sociale et judiciaire de la femme.  </w:t>
            </w:r>
          </w:p>
          <w:p w14:paraId="64D0D1F8" w14:textId="77777777" w:rsidR="00E02032" w:rsidRPr="00D008D2" w:rsidRDefault="00E02032" w:rsidP="00233C12">
            <w:pPr>
              <w:spacing w:after="120"/>
              <w:jc w:val="both"/>
            </w:pPr>
            <w:r w:rsidRPr="00936D4C">
              <w:t xml:space="preserve">Il </w:t>
            </w:r>
            <w:r w:rsidRPr="00857584">
              <w:t>est indiqué à l’article 14 que le juge peut être saisi par : la victime ; le travailleur social ; le Procureur de la République ; les administrations publiques œuvrant dans le domaine de la protection de la femme ; les organisations non gouvernementales et autres associations s’occupant de la protection de la femme et les Officiers de Police Judiciaire compétents.</w:t>
            </w:r>
          </w:p>
        </w:tc>
      </w:tr>
      <w:tr w:rsidR="00E02032" w14:paraId="15DF6479" w14:textId="77777777" w:rsidTr="00233C12">
        <w:trPr>
          <w:trHeight w:val="3543"/>
        </w:trPr>
        <w:tc>
          <w:tcPr>
            <w:tcW w:w="3539" w:type="dxa"/>
          </w:tcPr>
          <w:p w14:paraId="2C05DBDE" w14:textId="77777777" w:rsidR="00E02032" w:rsidRPr="007C4E96" w:rsidRDefault="00E02032" w:rsidP="00233C12">
            <w:pPr>
              <w:spacing w:after="120"/>
              <w:jc w:val="both"/>
              <w:rPr>
                <w:b/>
              </w:rPr>
            </w:pPr>
            <w:r w:rsidRPr="007C4E96">
              <w:rPr>
                <w:b/>
              </w:rPr>
              <w:lastRenderedPageBreak/>
              <w:t>Loi n°15-003 du 03 juin 2015 portant création, fonctionnement et organisation de la Cour pénale Spéciale (CPS) en RCA</w:t>
            </w:r>
          </w:p>
        </w:tc>
        <w:tc>
          <w:tcPr>
            <w:tcW w:w="5387" w:type="dxa"/>
          </w:tcPr>
          <w:p w14:paraId="77D08E64" w14:textId="77777777" w:rsidR="00E02032" w:rsidRDefault="00E02032" w:rsidP="00233C12">
            <w:pPr>
              <w:spacing w:after="120"/>
              <w:jc w:val="both"/>
            </w:pPr>
            <w:r>
              <w:t>La CPS est chargée d’enquêter, d’instruire et de juger les violations graves des droits humains et les violations graves du droit international humanitaire, y compris les violences sexuelles, commis sur le territoire de la République Centrafricaine depuis le 1</w:t>
            </w:r>
            <w:r w:rsidRPr="007C4E96">
              <w:rPr>
                <w:vertAlign w:val="superscript"/>
              </w:rPr>
              <w:t>er</w:t>
            </w:r>
            <w:r>
              <w:t xml:space="preserve"> janvier 2003.</w:t>
            </w:r>
          </w:p>
          <w:p w14:paraId="16F37BC1" w14:textId="77777777" w:rsidR="00E02032" w:rsidRPr="00D008D2" w:rsidRDefault="00E02032" w:rsidP="00233C12">
            <w:pPr>
              <w:spacing w:after="120"/>
              <w:jc w:val="both"/>
              <w:rPr>
                <w:rFonts w:cstheme="minorHAnsi"/>
              </w:rPr>
            </w:pPr>
            <w:r w:rsidRPr="00A643FF">
              <w:t xml:space="preserve">La Cour Pénale Spéciale </w:t>
            </w:r>
            <w:r>
              <w:t>dotée</w:t>
            </w:r>
            <w:r w:rsidRPr="00A643FF">
              <w:t xml:space="preserve"> </w:t>
            </w:r>
            <w:r>
              <w:t>d’</w:t>
            </w:r>
            <w:r w:rsidRPr="00A643FF">
              <w:t>un mandat robuste qui est celui de poursuivre et condamner les principaux auteurs de crime et violence contre les filles et les femmes. L’intervention de cette cour aura pour avantage, non seulement de poursuivre et condamner les auteurs de ces crimes, mais également de dissuader les potentiels agresseurs.</w:t>
            </w:r>
            <w:r>
              <w:t xml:space="preserve"> </w:t>
            </w:r>
          </w:p>
        </w:tc>
      </w:tr>
      <w:tr w:rsidR="00E02032" w14:paraId="567037C2" w14:textId="77777777" w:rsidTr="00233C12">
        <w:tc>
          <w:tcPr>
            <w:tcW w:w="3539" w:type="dxa"/>
          </w:tcPr>
          <w:p w14:paraId="361E22C4" w14:textId="77777777" w:rsidR="00E02032" w:rsidRPr="00046392" w:rsidRDefault="00E02032" w:rsidP="00233C12">
            <w:pPr>
              <w:spacing w:after="120"/>
              <w:jc w:val="both"/>
              <w:rPr>
                <w:rFonts w:cstheme="minorHAnsi"/>
                <w:b/>
              </w:rPr>
            </w:pPr>
            <w:r w:rsidRPr="00046392">
              <w:rPr>
                <w:b/>
              </w:rPr>
              <w:t>Ordonnance 66/26 relative à la promotion de la jeune fille du 31 mars 1966</w:t>
            </w:r>
          </w:p>
        </w:tc>
        <w:tc>
          <w:tcPr>
            <w:tcW w:w="5387" w:type="dxa"/>
          </w:tcPr>
          <w:p w14:paraId="3D288482" w14:textId="77777777" w:rsidR="00E02032" w:rsidRDefault="00E02032" w:rsidP="00233C12">
            <w:pPr>
              <w:spacing w:after="120"/>
              <w:jc w:val="both"/>
            </w:pPr>
            <w:r w:rsidRPr="00857584">
              <w:t>L’ordonnance a pour objet de faire promotion de la jeune fille et son maintien dans le système éducatif jusqu’à l’âge de 21 ans révolus</w:t>
            </w:r>
            <w:r>
              <w:rPr>
                <w:rFonts w:ascii="Times New Roman" w:hAnsi="Times New Roman"/>
                <w:sz w:val="24"/>
                <w:szCs w:val="24"/>
              </w:rPr>
              <w:t xml:space="preserve">. </w:t>
            </w:r>
          </w:p>
        </w:tc>
      </w:tr>
      <w:tr w:rsidR="00E02032" w14:paraId="4A9A9218" w14:textId="77777777" w:rsidTr="00233C12">
        <w:tc>
          <w:tcPr>
            <w:tcW w:w="3539" w:type="dxa"/>
          </w:tcPr>
          <w:p w14:paraId="2A17E0B9" w14:textId="77777777" w:rsidR="00E02032" w:rsidRPr="00046392" w:rsidRDefault="00E02032" w:rsidP="00233C12">
            <w:pPr>
              <w:spacing w:after="120"/>
              <w:jc w:val="both"/>
              <w:rPr>
                <w:rFonts w:cstheme="minorHAnsi"/>
                <w:b/>
              </w:rPr>
            </w:pPr>
            <w:r w:rsidRPr="00046392">
              <w:rPr>
                <w:b/>
              </w:rPr>
              <w:t>Ordonnance 66/16 du 22 février 1966 portant abolition de l’excision</w:t>
            </w:r>
          </w:p>
        </w:tc>
        <w:tc>
          <w:tcPr>
            <w:tcW w:w="5387" w:type="dxa"/>
          </w:tcPr>
          <w:p w14:paraId="7114EB7A" w14:textId="77777777" w:rsidR="00E02032" w:rsidRDefault="00E02032" w:rsidP="00233C12">
            <w:pPr>
              <w:spacing w:after="120"/>
              <w:jc w:val="both"/>
            </w:pPr>
            <w:r w:rsidRPr="00857584">
              <w:t xml:space="preserve">Cette Ordonnance aboli la « pratique de l’excision sur toute l’étendue du territoire de la RCA » et </w:t>
            </w:r>
            <w:r>
              <w:t>cette</w:t>
            </w:r>
            <w:r w:rsidRPr="00857584">
              <w:t xml:space="preserve"> pratique est également criminalisée dans le Code pénal de 2010.</w:t>
            </w:r>
          </w:p>
        </w:tc>
      </w:tr>
      <w:tr w:rsidR="00E02032" w14:paraId="2159B1D8" w14:textId="77777777" w:rsidTr="00233C12">
        <w:tc>
          <w:tcPr>
            <w:tcW w:w="3539" w:type="dxa"/>
          </w:tcPr>
          <w:p w14:paraId="26E3766A" w14:textId="77777777" w:rsidR="00E02032" w:rsidRPr="007C4E96" w:rsidRDefault="00E02032" w:rsidP="00233C12">
            <w:pPr>
              <w:spacing w:after="120"/>
              <w:jc w:val="both"/>
              <w:rPr>
                <w:b/>
              </w:rPr>
            </w:pPr>
            <w:r w:rsidRPr="007C4E96">
              <w:rPr>
                <w:b/>
              </w:rPr>
              <w:t>Décret n°15.007 du 8 janvier 2015, portant création de l'Unité Mixte d'Intervention Rapide et de Répression des Violences Sexuelles Faites au</w:t>
            </w:r>
            <w:r>
              <w:rPr>
                <w:b/>
              </w:rPr>
              <w:t>x Femmes et aux enfants (UMIRR).</w:t>
            </w:r>
          </w:p>
        </w:tc>
        <w:tc>
          <w:tcPr>
            <w:tcW w:w="5387" w:type="dxa"/>
          </w:tcPr>
          <w:p w14:paraId="7F429639" w14:textId="77777777" w:rsidR="00E02032" w:rsidRDefault="00E02032" w:rsidP="00233C12">
            <w:pPr>
              <w:spacing w:after="120"/>
              <w:jc w:val="both"/>
            </w:pPr>
            <w:r>
              <w:t>Cette unité, ayant une compétence nationale, mais basée à Bangui est composée des éléments de la Gendarmerie et de la Police. Elle est appuyée par les Officiers de Police de la MINUSCA qui renforcent les capacités des Enquêteurs dans les procédures judiciaires.  Elle a été mise en place dans une vision de créer et d’entretenir dans le pays un cadre propice et approprié pour la prévention et la répression des infractions relatives aux violences sexuelles liées au conflit et autres formes de violences basées sur le genre et aux violations des droits de l’enfant, ainsi qu’à la prise en charge efficace et efficiente des victimes.</w:t>
            </w:r>
          </w:p>
          <w:p w14:paraId="388A011E" w14:textId="77777777" w:rsidR="00E02032" w:rsidRDefault="00E02032" w:rsidP="00233C12">
            <w:pPr>
              <w:spacing w:after="120"/>
              <w:jc w:val="both"/>
            </w:pPr>
            <w:r>
              <w:t xml:space="preserve">Deux </w:t>
            </w:r>
            <w:r w:rsidRPr="005F2D20">
              <w:rPr>
                <w:b/>
                <w:i/>
              </w:rPr>
              <w:t>arrêtés ministériels portant organisation et fonctionnement de l’Unité ont été signés le 29 février et le 9 décembre 2016</w:t>
            </w:r>
            <w:r>
              <w:t xml:space="preserve"> pour appuyer les mesures d’applications du décret de création de l’UMIRR. Aussi, des Cadres ont été nommés pour assurer les services de prévention et d’alerte, d’enquêtes et d’investigation, d’assistance juridique ainsi que ceux d’accompagnement médical et psychosocial au sein de l’Unité</w:t>
            </w:r>
          </w:p>
        </w:tc>
      </w:tr>
      <w:tr w:rsidR="00E02032" w14:paraId="0E3025C0" w14:textId="77777777" w:rsidTr="00233C12">
        <w:tc>
          <w:tcPr>
            <w:tcW w:w="3539" w:type="dxa"/>
          </w:tcPr>
          <w:p w14:paraId="09086C10" w14:textId="77777777" w:rsidR="00E02032" w:rsidRPr="00566104" w:rsidRDefault="00E02032" w:rsidP="00233C12">
            <w:pPr>
              <w:spacing w:after="120"/>
              <w:jc w:val="both"/>
              <w:rPr>
                <w:b/>
              </w:rPr>
            </w:pPr>
            <w:r w:rsidRPr="00857584">
              <w:rPr>
                <w:b/>
              </w:rPr>
              <w:t>Arrêté interministériel N° 013/PM/18 du 07 juin 2018 en modification de l’arrêté N°007 d’avril 2005 portant création du comité national de lutte contre les pratiques néfastes.</w:t>
            </w:r>
          </w:p>
        </w:tc>
        <w:tc>
          <w:tcPr>
            <w:tcW w:w="5387" w:type="dxa"/>
          </w:tcPr>
          <w:p w14:paraId="232644F5" w14:textId="77777777" w:rsidR="00E02032" w:rsidRDefault="00E02032" w:rsidP="00233C12">
            <w:pPr>
              <w:spacing w:after="120"/>
              <w:jc w:val="both"/>
            </w:pPr>
            <w:r>
              <w:t xml:space="preserve">A travers ce comité, le gouvernement </w:t>
            </w:r>
            <w:r w:rsidRPr="00857584">
              <w:t>s’</w:t>
            </w:r>
            <w:r>
              <w:t>est engagé</w:t>
            </w:r>
            <w:r w:rsidRPr="00857584">
              <w:t xml:space="preserve"> dans la conception, </w:t>
            </w:r>
            <w:r>
              <w:t xml:space="preserve">la </w:t>
            </w:r>
            <w:r w:rsidRPr="00857584">
              <w:t xml:space="preserve">mise en œuvre et </w:t>
            </w:r>
            <w:r>
              <w:t xml:space="preserve">le </w:t>
            </w:r>
            <w:r w:rsidRPr="00857584">
              <w:t>sui</w:t>
            </w:r>
            <w:r>
              <w:t>vi</w:t>
            </w:r>
            <w:r w:rsidRPr="00857584">
              <w:t>-évaluation/coordination des interventions en matière de prévention et de prise en charge des VBG en République Centrafricaine.</w:t>
            </w:r>
          </w:p>
        </w:tc>
      </w:tr>
      <w:tr w:rsidR="00E02032" w14:paraId="58394FAB" w14:textId="77777777" w:rsidTr="00233C12">
        <w:tc>
          <w:tcPr>
            <w:tcW w:w="3539" w:type="dxa"/>
          </w:tcPr>
          <w:p w14:paraId="6824F9CF" w14:textId="77777777" w:rsidR="00E02032" w:rsidRPr="005F2D20" w:rsidRDefault="00E02032" w:rsidP="00233C12">
            <w:pPr>
              <w:spacing w:after="120"/>
              <w:jc w:val="both"/>
              <w:rPr>
                <w:b/>
              </w:rPr>
            </w:pPr>
            <w:r w:rsidRPr="005F2D20">
              <w:rPr>
                <w:b/>
              </w:rPr>
              <w:lastRenderedPageBreak/>
              <w:t>Note circulaire du Ministre de la Justice du 8 Mars 2016</w:t>
            </w:r>
          </w:p>
        </w:tc>
        <w:tc>
          <w:tcPr>
            <w:tcW w:w="5387" w:type="dxa"/>
          </w:tcPr>
          <w:p w14:paraId="6D9069D7" w14:textId="77777777" w:rsidR="00E02032" w:rsidRDefault="00E02032" w:rsidP="00233C12">
            <w:pPr>
              <w:spacing w:after="120"/>
              <w:jc w:val="both"/>
            </w:pPr>
            <w:r>
              <w:t>Cette note met un terme à la pratique de la correctionnalisation des crimes sexuels régie par une circulaire du Parquet Général de 1998 à l’attention des Parquets de la République</w:t>
            </w:r>
          </w:p>
        </w:tc>
      </w:tr>
    </w:tbl>
    <w:p w14:paraId="29B248FC" w14:textId="77777777" w:rsidR="00E02032" w:rsidRDefault="00E02032" w:rsidP="00E02032">
      <w:pPr>
        <w:spacing w:line="240" w:lineRule="auto"/>
        <w:rPr>
          <w:lang w:bidi="fr-FR"/>
        </w:rPr>
      </w:pPr>
    </w:p>
    <w:p w14:paraId="37A6BAAC" w14:textId="77777777" w:rsidR="00E02032" w:rsidRPr="00FE031C" w:rsidRDefault="00E02032" w:rsidP="00FE031C">
      <w:pPr>
        <w:rPr>
          <w:b/>
          <w:bCs/>
          <w:lang w:bidi="fr-FR"/>
        </w:rPr>
      </w:pPr>
      <w:bookmarkStart w:id="41" w:name="_Toc57037174"/>
      <w:r w:rsidRPr="00FE031C">
        <w:rPr>
          <w:b/>
          <w:bCs/>
          <w:lang w:bidi="fr-FR"/>
        </w:rPr>
        <w:t>Cadre institutionnel</w:t>
      </w:r>
      <w:bookmarkEnd w:id="41"/>
      <w:r w:rsidRPr="00FE031C">
        <w:rPr>
          <w:b/>
          <w:bCs/>
          <w:lang w:bidi="fr-FR"/>
        </w:rPr>
        <w:t xml:space="preserve"> étatique </w:t>
      </w:r>
    </w:p>
    <w:p w14:paraId="12542B22" w14:textId="77777777" w:rsidR="00E02032" w:rsidRDefault="00E02032" w:rsidP="00E02032">
      <w:pPr>
        <w:pStyle w:val="Heading3"/>
        <w:spacing w:line="240" w:lineRule="auto"/>
        <w:rPr>
          <w:lang w:bidi="fr-FR"/>
        </w:rPr>
      </w:pPr>
    </w:p>
    <w:p w14:paraId="339CA18A" w14:textId="77777777" w:rsidR="00E02032" w:rsidRPr="00F8125A" w:rsidRDefault="00E02032" w:rsidP="00E02032">
      <w:pPr>
        <w:pStyle w:val="ListParagraph"/>
        <w:numPr>
          <w:ilvl w:val="0"/>
          <w:numId w:val="37"/>
        </w:numPr>
        <w:spacing w:after="120" w:line="240" w:lineRule="auto"/>
        <w:jc w:val="both"/>
        <w:rPr>
          <w:b/>
          <w:sz w:val="24"/>
        </w:rPr>
      </w:pPr>
      <w:r w:rsidRPr="00F8125A">
        <w:rPr>
          <w:b/>
        </w:rPr>
        <w:t>Le Ministère de la Promotion de la Femme, de la Famille et de la Protection de l’Enfant, (MPFFPE)</w:t>
      </w:r>
    </w:p>
    <w:p w14:paraId="1AEDFBC2" w14:textId="77777777" w:rsidR="00E02032" w:rsidRPr="00293634" w:rsidRDefault="00E02032" w:rsidP="00E02032">
      <w:pPr>
        <w:spacing w:after="120" w:line="240" w:lineRule="auto"/>
        <w:jc w:val="both"/>
      </w:pPr>
      <w:r w:rsidRPr="00293634">
        <w:t>Ce Ministère,  à travers sa Direction Générale en charge de la promotion de la femme, met en œuvre la politique du gouvernement en matière de promotion de l’égalité et de l’équité et contribue à la prévention et à la réponse sur le plan national en matière de lutte contre les VBG par les actions suivantes</w:t>
      </w:r>
      <w:r w:rsidRPr="00293634">
        <w:rPr>
          <w:b/>
        </w:rPr>
        <w:t xml:space="preserve"> : </w:t>
      </w:r>
      <w:r w:rsidRPr="00293634">
        <w:t xml:space="preserve">information et sensibilisation des communautés ; accueil et orientation des victimes des VBG ; </w:t>
      </w:r>
      <w:r>
        <w:t>conseil</w:t>
      </w:r>
      <w:r w:rsidRPr="00293634">
        <w:t xml:space="preserve"> et prise en charge psychosociale ; dénonciation et soutien aux procédures judiciaires contre les auteurs de violences à l’endroit des femmes et des enfants.</w:t>
      </w:r>
    </w:p>
    <w:p w14:paraId="36E00609" w14:textId="77777777" w:rsidR="00E02032" w:rsidRPr="00F8125A" w:rsidRDefault="00E02032" w:rsidP="00E02032">
      <w:pPr>
        <w:pStyle w:val="ListParagraph"/>
        <w:numPr>
          <w:ilvl w:val="0"/>
          <w:numId w:val="37"/>
        </w:numPr>
        <w:spacing w:after="120" w:line="240" w:lineRule="auto"/>
        <w:jc w:val="both"/>
        <w:rPr>
          <w:b/>
        </w:rPr>
      </w:pPr>
      <w:r w:rsidRPr="00F8125A">
        <w:rPr>
          <w:b/>
        </w:rPr>
        <w:t>Le Ministère de la Santé et de la Population</w:t>
      </w:r>
    </w:p>
    <w:p w14:paraId="4B5468D3" w14:textId="77777777" w:rsidR="00E02032" w:rsidRPr="00293634" w:rsidRDefault="00E02032" w:rsidP="00E02032">
      <w:pPr>
        <w:spacing w:after="120" w:line="240" w:lineRule="auto"/>
        <w:jc w:val="both"/>
      </w:pPr>
      <w:r w:rsidRPr="00293634">
        <w:t>Ce Ministère intervient au titre de la définition et la mise en œuvre de la politique nationale de santé, mais également à travers d’autres mécanismes de mise en œuvre des programmes au VIH/SIDA à travers le Comité National de Lutte contre SIDA (CNLS).</w:t>
      </w:r>
    </w:p>
    <w:p w14:paraId="00465387" w14:textId="77777777" w:rsidR="00E02032" w:rsidRPr="00F8125A" w:rsidRDefault="00E02032" w:rsidP="00E02032">
      <w:pPr>
        <w:pStyle w:val="ListParagraph"/>
        <w:numPr>
          <w:ilvl w:val="0"/>
          <w:numId w:val="37"/>
        </w:numPr>
        <w:spacing w:after="120" w:line="240" w:lineRule="auto"/>
        <w:jc w:val="both"/>
        <w:rPr>
          <w:b/>
        </w:rPr>
      </w:pPr>
      <w:r w:rsidRPr="00F23C1D">
        <w:rPr>
          <w:b/>
        </w:rPr>
        <w:t>Le Ministère de la Sécurité publique</w:t>
      </w:r>
      <w:r w:rsidRPr="00F8125A">
        <w:rPr>
          <w:b/>
        </w:rPr>
        <w:t xml:space="preserve"> </w:t>
      </w:r>
    </w:p>
    <w:p w14:paraId="24FF1299" w14:textId="77777777" w:rsidR="00E02032" w:rsidRPr="00293634" w:rsidRDefault="00E02032" w:rsidP="00E02032">
      <w:pPr>
        <w:spacing w:after="120" w:line="240" w:lineRule="auto"/>
        <w:jc w:val="both"/>
      </w:pPr>
      <w:r>
        <w:t>Il i</w:t>
      </w:r>
      <w:r w:rsidRPr="00293634">
        <w:t>ntervient à travers les services de la police, des brigades et de l’Unité Mixte d’Intervention Rapide et de Répression des violences sexuelles faites aux femmes et aux enfants (UMIRR), chargée de prévenir et réprimer toutes les formes de violences sexuelles commises sur les femmes et les enfants y compris les veuves et les orphelins.</w:t>
      </w:r>
    </w:p>
    <w:p w14:paraId="68794608" w14:textId="77777777" w:rsidR="00E02032" w:rsidRPr="00F8125A" w:rsidRDefault="00E02032" w:rsidP="00E02032">
      <w:pPr>
        <w:pStyle w:val="ListParagraph"/>
        <w:numPr>
          <w:ilvl w:val="0"/>
          <w:numId w:val="37"/>
        </w:numPr>
        <w:spacing w:after="120" w:line="240" w:lineRule="auto"/>
        <w:jc w:val="both"/>
        <w:rPr>
          <w:b/>
        </w:rPr>
      </w:pPr>
      <w:r w:rsidRPr="00F8125A">
        <w:rPr>
          <w:b/>
        </w:rPr>
        <w:t>Le Ministère de la Justice, Garde des Sceaux et de la Moralisation</w:t>
      </w:r>
    </w:p>
    <w:p w14:paraId="0F808FF4" w14:textId="77777777" w:rsidR="00E02032" w:rsidRPr="00293634" w:rsidRDefault="00E02032" w:rsidP="00E02032">
      <w:pPr>
        <w:spacing w:after="120" w:line="240" w:lineRule="auto"/>
        <w:jc w:val="both"/>
      </w:pPr>
      <w:r w:rsidRPr="00293634">
        <w:t>Dans le cadre de la réforme des droits, ce Ministère avec le PNUD, a procédé à la révision du code de procédure pénale et du code p</w:t>
      </w:r>
      <w:bookmarkStart w:id="42" w:name="_Hlk499050274"/>
      <w:r w:rsidRPr="00293634">
        <w:t>é</w:t>
      </w:r>
      <w:bookmarkEnd w:id="42"/>
      <w:r w:rsidRPr="00293634">
        <w:t xml:space="preserve">nal centrafricain dans lequel les nouvelles infractions liées aux VBG (harcèlement sexuel, détournement de mineurs en milieu scolaire, etc.) ont été intégrées.  </w:t>
      </w:r>
    </w:p>
    <w:p w14:paraId="521F3E75" w14:textId="77777777" w:rsidR="00E02032" w:rsidRDefault="00E02032" w:rsidP="00E02032">
      <w:pPr>
        <w:spacing w:after="120" w:line="240" w:lineRule="auto"/>
        <w:jc w:val="both"/>
        <w:rPr>
          <w:sz w:val="24"/>
        </w:rPr>
      </w:pPr>
      <w:r w:rsidRPr="00293634">
        <w:t>Les victimes de violences ou d’abus divers peuvent directement saisir la juridiction compétente pour obtenir réparation. Ces juridictions sont décrites dans le tableau ci-dessous</w:t>
      </w:r>
      <w:r>
        <w:rPr>
          <w:sz w:val="24"/>
        </w:rPr>
        <w:t>.</w:t>
      </w:r>
    </w:p>
    <w:p w14:paraId="13ABFEE6" w14:textId="77777777" w:rsidR="00E02032" w:rsidRPr="00293634" w:rsidRDefault="00E02032" w:rsidP="00E02032">
      <w:pPr>
        <w:spacing w:after="120" w:line="240" w:lineRule="auto"/>
        <w:jc w:val="both"/>
      </w:pPr>
      <w:r w:rsidRPr="00293634">
        <w:t xml:space="preserve">A l’exception de la CPS, en cas d’insatisfaction de la décision prise par les juridictions citées dans le tableau 2, la victime peut recourir à une juridiction supérieure notamment la Cour d’Appel et la Cour de Cassation. </w:t>
      </w:r>
    </w:p>
    <w:p w14:paraId="485E82B7" w14:textId="77777777" w:rsidR="00E02032" w:rsidRPr="00293634" w:rsidRDefault="00E02032" w:rsidP="00E02032">
      <w:pPr>
        <w:spacing w:after="120" w:line="240" w:lineRule="auto"/>
        <w:jc w:val="both"/>
      </w:pPr>
      <w:r w:rsidRPr="00293634">
        <w:t xml:space="preserve">Le Ministère, en partenariat avec le PNUD dans le cadre du </w:t>
      </w:r>
      <w:r w:rsidRPr="00293634">
        <w:rPr>
          <w:i/>
        </w:rPr>
        <w:t>projet de Renforcement de l’État de droit</w:t>
      </w:r>
      <w:r w:rsidRPr="00293634">
        <w:t>, a procédé à la révision du Code de Procédures Pénales et du Code Pénal dans lesquels de nouvelles infractions liées aux VBG (harcèlement sexuel, détournement des mineurs en milieu scolaire, etc.) y ont été intégrées.</w:t>
      </w:r>
    </w:p>
    <w:p w14:paraId="6CC9730E" w14:textId="77777777" w:rsidR="00E02032" w:rsidRPr="00F8125A" w:rsidRDefault="00E02032" w:rsidP="00E02032">
      <w:pPr>
        <w:pStyle w:val="ListParagraph"/>
        <w:numPr>
          <w:ilvl w:val="0"/>
          <w:numId w:val="37"/>
        </w:numPr>
        <w:spacing w:after="120" w:line="240" w:lineRule="auto"/>
        <w:jc w:val="both"/>
        <w:rPr>
          <w:b/>
        </w:rPr>
      </w:pPr>
      <w:r w:rsidRPr="00B8333C">
        <w:rPr>
          <w:b/>
        </w:rPr>
        <w:t>Le Haut-Commissariat aux Droits de l’Homme (OCDH)</w:t>
      </w:r>
    </w:p>
    <w:p w14:paraId="074FD25B" w14:textId="77777777" w:rsidR="00E02032" w:rsidRPr="00F8125A" w:rsidRDefault="00E02032" w:rsidP="00E02032">
      <w:pPr>
        <w:spacing w:after="120" w:line="240" w:lineRule="auto"/>
        <w:jc w:val="both"/>
      </w:pPr>
      <w:r w:rsidRPr="00F8125A">
        <w:t xml:space="preserve">Créé par Décret n°01.074 du 30 30 mars 2001, l’OCDH a pour mission de veiller et de mettre en œuvre la politique du Gouvernement en matière de des Droits de l’Homme, de contribuer à la promotion de la culture de la paix. Il mène des actions de sensibilisation des populations sur le respect des droits de devoirs des citoyens ainsi que des libertés, sur la déclaration universelle des droits de l’homme et la Charte africaine des droits de l’homme et des peuples. Toutes ces actions concourent à la prévention des violences. </w:t>
      </w:r>
    </w:p>
    <w:p w14:paraId="1C45A0B0" w14:textId="77777777" w:rsidR="00E02032" w:rsidRPr="00F8125A" w:rsidRDefault="00E02032" w:rsidP="00E02032">
      <w:pPr>
        <w:pStyle w:val="ListParagraph"/>
        <w:numPr>
          <w:ilvl w:val="0"/>
          <w:numId w:val="37"/>
        </w:numPr>
        <w:spacing w:after="120" w:line="240" w:lineRule="auto"/>
        <w:jc w:val="both"/>
        <w:rPr>
          <w:b/>
        </w:rPr>
      </w:pPr>
      <w:r w:rsidRPr="00F8125A">
        <w:rPr>
          <w:b/>
        </w:rPr>
        <w:lastRenderedPageBreak/>
        <w:t>La Commission National des Droits de l’Homme (CNDH)</w:t>
      </w:r>
    </w:p>
    <w:p w14:paraId="3632392F" w14:textId="77777777" w:rsidR="00E02032" w:rsidRPr="00F8125A" w:rsidRDefault="00E02032" w:rsidP="00E02032">
      <w:pPr>
        <w:spacing w:after="120" w:line="240" w:lineRule="auto"/>
        <w:jc w:val="both"/>
      </w:pPr>
      <w:r w:rsidRPr="00F8125A">
        <w:t>Créée par la loi n°91/009 du 25 septembre puis remplacée par la loi n°96.003 du 10 janvier 1996, la CNDH a pour mission de : (i) veiller sur toute l’entendue du territoire au respect des droits fondamentaux de l’homme tels que définis par la Déclaration universelle des droits de l’homme et la Charte africaine des droits de l’homme et des peuples et de la Constitution de la RCA ; (ii) promouvoir ces droits par tous les moyens et (iii) émettre des avis sur toute question ou tout projet de textes touchant aux droit de l’homme.</w:t>
      </w:r>
    </w:p>
    <w:p w14:paraId="3FC89139" w14:textId="77777777" w:rsidR="00E02032" w:rsidRPr="00F8125A" w:rsidRDefault="00E02032" w:rsidP="00E02032">
      <w:pPr>
        <w:pStyle w:val="ListParagraph"/>
        <w:numPr>
          <w:ilvl w:val="0"/>
          <w:numId w:val="37"/>
        </w:numPr>
        <w:spacing w:after="120" w:line="240" w:lineRule="auto"/>
        <w:jc w:val="both"/>
        <w:rPr>
          <w:b/>
        </w:rPr>
      </w:pPr>
      <w:r w:rsidRPr="00F8125A">
        <w:rPr>
          <w:b/>
        </w:rPr>
        <w:t>Le Comité National de lutte contre les pratiques traditionnelles néfastes à la santé de la femme et de la petite fille et les violences à leur égard</w:t>
      </w:r>
    </w:p>
    <w:p w14:paraId="0C7806AF" w14:textId="77777777" w:rsidR="00E02032" w:rsidRPr="00F8125A" w:rsidRDefault="00E02032" w:rsidP="00E02032">
      <w:pPr>
        <w:spacing w:after="120" w:line="240" w:lineRule="auto"/>
        <w:jc w:val="both"/>
      </w:pPr>
      <w:r w:rsidRPr="00F8125A">
        <w:t>Créé par Arrêté Interministériel en 2001, le Comité regroupe les Départements ministériels suivants : Affaires Sociales, Santé, Intérieur, Justice, Justice, Éducation, Plan et Environnement. Ses attributions sont entre autres : collecter toutes les données relatives aux pratiques néfastes et aux violences affectant la santé des femmes et des filles ; sensibiliser, informer et éduquer la population sur ces pratiques néfastes et les violences ; proposer des mesures tendant à l’éradication de ces pratiques néfastes et des violences ; dénoncer toute forme ou tentative de pratiques néfastes, de violences faites sur les femmes et les filles ; sensibiliser, informer et éduquer la population sur les relations existant entre le VIH/SIDA et certaines formes de violences à l’égard des femmes et des filles ; élaborer et mettre en œuvre un Plan d’Action National de lutte contre les pratiques néfastes et violences à l’égard des femmes et des filles ; coordonner les efforts déployés par les organisations non gouvernementales (ONG), les Organisation à Assises Communautaires (O.A.C) et les confessions religieuses pour l’élimination de ces pratiques et violences.</w:t>
      </w:r>
    </w:p>
    <w:p w14:paraId="73A52C48" w14:textId="77777777" w:rsidR="00E02032" w:rsidRPr="00F8125A" w:rsidRDefault="00E02032" w:rsidP="00E02032">
      <w:pPr>
        <w:pStyle w:val="ListParagraph"/>
        <w:numPr>
          <w:ilvl w:val="0"/>
          <w:numId w:val="37"/>
        </w:numPr>
        <w:spacing w:after="120" w:line="240" w:lineRule="auto"/>
        <w:jc w:val="both"/>
        <w:rPr>
          <w:b/>
        </w:rPr>
      </w:pPr>
      <w:r w:rsidRPr="00F8125A">
        <w:rPr>
          <w:b/>
        </w:rPr>
        <w:t>Le Comité de Suivi de la mise en œuvre de la Convention pour l’Élimination de toutes les formes de Discrimination Envers les Femmes (CEDEF)</w:t>
      </w:r>
    </w:p>
    <w:p w14:paraId="22A0B5A7" w14:textId="77777777" w:rsidR="00E02032" w:rsidRPr="00AF7264" w:rsidRDefault="00E02032" w:rsidP="00E02032">
      <w:pPr>
        <w:spacing w:after="120" w:line="240" w:lineRule="auto"/>
        <w:jc w:val="both"/>
      </w:pPr>
      <w:r w:rsidRPr="00F8125A">
        <w:t xml:space="preserve">Créé par Arrêté n°012 du 13 juin 2007, le Comité est chargé de : faire le suivi de l’application effective de la CEDEF par le Gouvernement ; constituer une banque de données actualisées sur toutes les actions visant la mise en œuvre de la CEDEF au niveau national ; soutenir les initiatives visant la diffusion et la vulgarisation des dispositions de la Convention au sein de la population ; dresser un rapport initial et des rapports périodiques sur la mise en œuvre de la CEDEF dans le pays pour soumission au Secrétariat Général de l’Organisation des Nations Unies par le Gouvernement. </w:t>
      </w:r>
    </w:p>
    <w:p w14:paraId="0A6585F0" w14:textId="77777777" w:rsidR="00E02032" w:rsidRDefault="00E02032" w:rsidP="00E02032"/>
    <w:p w14:paraId="73CFF97D" w14:textId="77777777" w:rsidR="00E02032" w:rsidRDefault="00E02032" w:rsidP="00E02032"/>
    <w:p w14:paraId="0CA31E2F" w14:textId="77777777" w:rsidR="00E02032" w:rsidRDefault="00E02032" w:rsidP="00E02032"/>
    <w:p w14:paraId="68C9A898" w14:textId="77777777" w:rsidR="00E02032" w:rsidRDefault="00E02032" w:rsidP="00E02032"/>
    <w:p w14:paraId="1B55BFEA" w14:textId="77777777" w:rsidR="00E02032" w:rsidRDefault="00E02032" w:rsidP="00E02032"/>
    <w:p w14:paraId="43B02EAD" w14:textId="77777777" w:rsidR="00E02032" w:rsidRDefault="00E02032" w:rsidP="00E02032"/>
    <w:p w14:paraId="58FB854D" w14:textId="77777777" w:rsidR="00E02032" w:rsidRDefault="00E02032" w:rsidP="00E02032"/>
    <w:p w14:paraId="4435CEBD" w14:textId="77777777" w:rsidR="00E02032" w:rsidRDefault="00E02032" w:rsidP="00E02032"/>
    <w:p w14:paraId="5F48F47C" w14:textId="77777777" w:rsidR="00E02032" w:rsidRDefault="00E02032" w:rsidP="00E02032"/>
    <w:p w14:paraId="0CD8325C" w14:textId="77777777" w:rsidR="00E02032" w:rsidRDefault="00E02032" w:rsidP="00E02032"/>
    <w:p w14:paraId="5D10A9D2" w14:textId="77777777" w:rsidR="00E02032" w:rsidRPr="00521E6F" w:rsidRDefault="00E02032" w:rsidP="00E02032"/>
    <w:p w14:paraId="634FB22E" w14:textId="77777777" w:rsidR="00E02032" w:rsidRPr="00FE031C" w:rsidRDefault="00E02032" w:rsidP="00FE031C">
      <w:pPr>
        <w:pStyle w:val="Heading3"/>
      </w:pPr>
      <w:bookmarkStart w:id="43" w:name="_Toc68269631"/>
      <w:r w:rsidRPr="00FE031C">
        <w:lastRenderedPageBreak/>
        <w:t>Annexe 4 : Cartographie préliminaire des capacités locales et des services existants (SENI – données 2018 à mettre à jour)</w:t>
      </w:r>
      <w:bookmarkEnd w:id="43"/>
    </w:p>
    <w:p w14:paraId="03738733" w14:textId="77777777" w:rsidR="00E02032" w:rsidRDefault="00E02032" w:rsidP="00E02032"/>
    <w:tbl>
      <w:tblPr>
        <w:tblW w:w="9776" w:type="dxa"/>
        <w:tblLayout w:type="fixed"/>
        <w:tblLook w:val="04A0" w:firstRow="1" w:lastRow="0" w:firstColumn="1" w:lastColumn="0" w:noHBand="0" w:noVBand="1"/>
      </w:tblPr>
      <w:tblGrid>
        <w:gridCol w:w="421"/>
        <w:gridCol w:w="850"/>
        <w:gridCol w:w="1418"/>
        <w:gridCol w:w="1560"/>
        <w:gridCol w:w="1417"/>
        <w:gridCol w:w="850"/>
        <w:gridCol w:w="1276"/>
        <w:gridCol w:w="708"/>
        <w:gridCol w:w="1276"/>
      </w:tblGrid>
      <w:tr w:rsidR="00E02032" w:rsidRPr="004C209D" w14:paraId="6CDD8678" w14:textId="77777777" w:rsidTr="00233C12">
        <w:trPr>
          <w:cantSplit/>
          <w:trHeight w:val="20"/>
        </w:trPr>
        <w:tc>
          <w:tcPr>
            <w:tcW w:w="421" w:type="dxa"/>
            <w:tcBorders>
              <w:top w:val="single" w:sz="4" w:space="0" w:color="auto"/>
              <w:left w:val="single" w:sz="4" w:space="0" w:color="auto"/>
              <w:bottom w:val="single" w:sz="4" w:space="0" w:color="auto"/>
              <w:right w:val="single" w:sz="4" w:space="0" w:color="auto"/>
            </w:tcBorders>
            <w:shd w:val="clear" w:color="000000" w:fill="FCE4D6"/>
            <w:noWrap/>
            <w:textDirection w:val="btLr"/>
            <w:vAlign w:val="center"/>
            <w:hideMark/>
          </w:tcPr>
          <w:p w14:paraId="02166601" w14:textId="77777777" w:rsidR="00E02032" w:rsidRPr="004C209D" w:rsidRDefault="00E02032" w:rsidP="00233C12">
            <w:pPr>
              <w:ind w:left="113" w:right="113"/>
              <w:jc w:val="right"/>
              <w:rPr>
                <w:b/>
                <w:bCs/>
                <w:color w:val="000000"/>
                <w:sz w:val="16"/>
                <w:szCs w:val="16"/>
              </w:rPr>
            </w:pPr>
            <w:r w:rsidRPr="004C209D">
              <w:rPr>
                <w:b/>
                <w:bCs/>
                <w:color w:val="000000"/>
                <w:sz w:val="16"/>
                <w:szCs w:val="16"/>
              </w:rPr>
              <w:t>Region</w:t>
            </w:r>
          </w:p>
        </w:tc>
        <w:tc>
          <w:tcPr>
            <w:tcW w:w="850" w:type="dxa"/>
            <w:tcBorders>
              <w:top w:val="single" w:sz="4" w:space="0" w:color="auto"/>
              <w:left w:val="nil"/>
              <w:bottom w:val="single" w:sz="4" w:space="0" w:color="auto"/>
              <w:right w:val="single" w:sz="4" w:space="0" w:color="auto"/>
            </w:tcBorders>
            <w:shd w:val="clear" w:color="000000" w:fill="FCE4D6"/>
            <w:hideMark/>
          </w:tcPr>
          <w:p w14:paraId="3053E9DD" w14:textId="77777777" w:rsidR="00E02032" w:rsidRPr="004C209D" w:rsidRDefault="00E02032" w:rsidP="00233C12">
            <w:pPr>
              <w:rPr>
                <w:b/>
                <w:bCs/>
                <w:color w:val="000000" w:themeColor="text1"/>
                <w:sz w:val="16"/>
                <w:szCs w:val="16"/>
              </w:rPr>
            </w:pPr>
            <w:r w:rsidRPr="004C209D">
              <w:rPr>
                <w:b/>
                <w:bCs/>
                <w:color w:val="000000" w:themeColor="text1"/>
                <w:sz w:val="16"/>
                <w:szCs w:val="16"/>
              </w:rPr>
              <w:t xml:space="preserve">Préfecture </w:t>
            </w:r>
          </w:p>
        </w:tc>
        <w:tc>
          <w:tcPr>
            <w:tcW w:w="1418" w:type="dxa"/>
            <w:tcBorders>
              <w:top w:val="single" w:sz="4" w:space="0" w:color="auto"/>
              <w:left w:val="nil"/>
              <w:bottom w:val="single" w:sz="4" w:space="0" w:color="auto"/>
              <w:right w:val="single" w:sz="4" w:space="0" w:color="auto"/>
            </w:tcBorders>
            <w:shd w:val="clear" w:color="000000" w:fill="FCE4D6"/>
            <w:hideMark/>
          </w:tcPr>
          <w:p w14:paraId="1E3F914A" w14:textId="77777777" w:rsidR="00E02032" w:rsidRPr="004C209D" w:rsidRDefault="00E02032" w:rsidP="00233C12">
            <w:pPr>
              <w:rPr>
                <w:b/>
                <w:bCs/>
                <w:color w:val="000000" w:themeColor="text1"/>
                <w:sz w:val="16"/>
                <w:szCs w:val="16"/>
              </w:rPr>
            </w:pPr>
            <w:r w:rsidRPr="004C209D">
              <w:rPr>
                <w:b/>
                <w:bCs/>
                <w:color w:val="000000" w:themeColor="text1"/>
                <w:sz w:val="16"/>
                <w:szCs w:val="16"/>
              </w:rPr>
              <w:t>Sous-Prefecture </w:t>
            </w:r>
          </w:p>
        </w:tc>
        <w:tc>
          <w:tcPr>
            <w:tcW w:w="1560" w:type="dxa"/>
            <w:tcBorders>
              <w:top w:val="single" w:sz="4" w:space="0" w:color="auto"/>
              <w:left w:val="nil"/>
              <w:bottom w:val="single" w:sz="4" w:space="0" w:color="auto"/>
              <w:right w:val="single" w:sz="4" w:space="0" w:color="auto"/>
            </w:tcBorders>
            <w:shd w:val="clear" w:color="000000" w:fill="FCE4D6"/>
            <w:hideMark/>
          </w:tcPr>
          <w:p w14:paraId="07B591BD" w14:textId="77777777" w:rsidR="00E02032" w:rsidRPr="004C209D" w:rsidRDefault="00E02032" w:rsidP="00233C12">
            <w:pPr>
              <w:rPr>
                <w:b/>
                <w:bCs/>
                <w:color w:val="000000" w:themeColor="text1"/>
                <w:sz w:val="16"/>
                <w:szCs w:val="16"/>
              </w:rPr>
            </w:pPr>
            <w:r w:rsidRPr="004C209D">
              <w:rPr>
                <w:b/>
                <w:bCs/>
                <w:color w:val="000000" w:themeColor="text1"/>
                <w:sz w:val="16"/>
                <w:szCs w:val="16"/>
              </w:rPr>
              <w:t>District Sanitaire </w:t>
            </w:r>
          </w:p>
        </w:tc>
        <w:tc>
          <w:tcPr>
            <w:tcW w:w="1417" w:type="dxa"/>
            <w:tcBorders>
              <w:top w:val="single" w:sz="4" w:space="0" w:color="auto"/>
              <w:left w:val="nil"/>
              <w:bottom w:val="single" w:sz="4" w:space="0" w:color="auto"/>
              <w:right w:val="single" w:sz="4" w:space="0" w:color="auto"/>
            </w:tcBorders>
            <w:shd w:val="clear" w:color="000000" w:fill="FCE4D6"/>
            <w:hideMark/>
          </w:tcPr>
          <w:p w14:paraId="5BA4A892" w14:textId="77777777" w:rsidR="00E02032" w:rsidRPr="004C209D" w:rsidRDefault="00E02032" w:rsidP="00233C12">
            <w:pPr>
              <w:rPr>
                <w:color w:val="000000" w:themeColor="text1"/>
                <w:sz w:val="16"/>
                <w:szCs w:val="16"/>
              </w:rPr>
            </w:pPr>
            <w:r w:rsidRPr="004C209D">
              <w:rPr>
                <w:color w:val="000000" w:themeColor="text1"/>
                <w:sz w:val="16"/>
                <w:szCs w:val="16"/>
              </w:rPr>
              <w:t>Info sharing/ awarness raising</w:t>
            </w:r>
          </w:p>
        </w:tc>
        <w:tc>
          <w:tcPr>
            <w:tcW w:w="850" w:type="dxa"/>
            <w:tcBorders>
              <w:top w:val="single" w:sz="4" w:space="0" w:color="auto"/>
              <w:left w:val="nil"/>
              <w:bottom w:val="single" w:sz="4" w:space="0" w:color="auto"/>
              <w:right w:val="single" w:sz="4" w:space="0" w:color="auto"/>
            </w:tcBorders>
            <w:shd w:val="clear" w:color="000000" w:fill="FCE4D6"/>
            <w:hideMark/>
          </w:tcPr>
          <w:p w14:paraId="56E3C99F" w14:textId="77777777" w:rsidR="00E02032" w:rsidRPr="004C209D" w:rsidRDefault="00E02032" w:rsidP="00233C12">
            <w:pPr>
              <w:rPr>
                <w:color w:val="000000" w:themeColor="text1"/>
                <w:sz w:val="16"/>
                <w:szCs w:val="16"/>
              </w:rPr>
            </w:pPr>
            <w:r w:rsidRPr="004C209D">
              <w:rPr>
                <w:color w:val="000000" w:themeColor="text1"/>
                <w:sz w:val="16"/>
                <w:szCs w:val="16"/>
              </w:rPr>
              <w:t>Medical</w:t>
            </w:r>
          </w:p>
        </w:tc>
        <w:tc>
          <w:tcPr>
            <w:tcW w:w="1276" w:type="dxa"/>
            <w:tcBorders>
              <w:top w:val="single" w:sz="4" w:space="0" w:color="auto"/>
              <w:left w:val="nil"/>
              <w:bottom w:val="single" w:sz="4" w:space="0" w:color="auto"/>
              <w:right w:val="single" w:sz="4" w:space="0" w:color="auto"/>
            </w:tcBorders>
            <w:shd w:val="clear" w:color="000000" w:fill="FCE4D6"/>
            <w:hideMark/>
          </w:tcPr>
          <w:p w14:paraId="7BBAB7C4" w14:textId="77777777" w:rsidR="00E02032" w:rsidRPr="004C209D" w:rsidRDefault="00E02032" w:rsidP="00233C12">
            <w:pPr>
              <w:rPr>
                <w:color w:val="000000" w:themeColor="text1"/>
                <w:sz w:val="16"/>
                <w:szCs w:val="16"/>
              </w:rPr>
            </w:pPr>
            <w:r w:rsidRPr="004C209D">
              <w:rPr>
                <w:color w:val="000000" w:themeColor="text1"/>
                <w:sz w:val="16"/>
                <w:szCs w:val="16"/>
              </w:rPr>
              <w:t>Psychosocial</w:t>
            </w:r>
          </w:p>
        </w:tc>
        <w:tc>
          <w:tcPr>
            <w:tcW w:w="708" w:type="dxa"/>
            <w:tcBorders>
              <w:top w:val="single" w:sz="4" w:space="0" w:color="auto"/>
              <w:left w:val="nil"/>
              <w:bottom w:val="single" w:sz="4" w:space="0" w:color="auto"/>
              <w:right w:val="single" w:sz="4" w:space="0" w:color="auto"/>
            </w:tcBorders>
            <w:shd w:val="clear" w:color="000000" w:fill="FCE4D6"/>
            <w:hideMark/>
          </w:tcPr>
          <w:p w14:paraId="4528E6B2" w14:textId="77777777" w:rsidR="00E02032" w:rsidRPr="004C209D" w:rsidRDefault="00E02032" w:rsidP="00233C12">
            <w:pPr>
              <w:rPr>
                <w:color w:val="000000" w:themeColor="text1"/>
                <w:sz w:val="16"/>
                <w:szCs w:val="16"/>
              </w:rPr>
            </w:pPr>
            <w:r w:rsidRPr="004C209D">
              <w:rPr>
                <w:color w:val="000000" w:themeColor="text1"/>
                <w:sz w:val="16"/>
                <w:szCs w:val="16"/>
              </w:rPr>
              <w:t>Legal</w:t>
            </w:r>
          </w:p>
        </w:tc>
        <w:tc>
          <w:tcPr>
            <w:tcW w:w="1276" w:type="dxa"/>
            <w:tcBorders>
              <w:top w:val="single" w:sz="4" w:space="0" w:color="auto"/>
              <w:left w:val="nil"/>
              <w:bottom w:val="single" w:sz="4" w:space="0" w:color="auto"/>
              <w:right w:val="single" w:sz="4" w:space="0" w:color="auto"/>
            </w:tcBorders>
            <w:shd w:val="clear" w:color="000000" w:fill="FCE4D6"/>
            <w:hideMark/>
          </w:tcPr>
          <w:p w14:paraId="4D270451" w14:textId="77777777" w:rsidR="00E02032" w:rsidRPr="004C209D" w:rsidRDefault="00E02032" w:rsidP="00233C12">
            <w:pPr>
              <w:rPr>
                <w:color w:val="000000" w:themeColor="text1"/>
                <w:sz w:val="16"/>
                <w:szCs w:val="16"/>
              </w:rPr>
            </w:pPr>
            <w:r w:rsidRPr="004C209D">
              <w:rPr>
                <w:color w:val="000000" w:themeColor="text1"/>
                <w:sz w:val="16"/>
                <w:szCs w:val="16"/>
              </w:rPr>
              <w:t>Economic and social reintegration</w:t>
            </w:r>
          </w:p>
        </w:tc>
      </w:tr>
      <w:tr w:rsidR="00E02032" w:rsidRPr="004C209D" w14:paraId="007A9644" w14:textId="77777777" w:rsidTr="00233C12">
        <w:trPr>
          <w:trHeight w:val="20"/>
        </w:trPr>
        <w:tc>
          <w:tcPr>
            <w:tcW w:w="421" w:type="dxa"/>
            <w:vMerge w:val="restart"/>
            <w:tcBorders>
              <w:top w:val="nil"/>
              <w:left w:val="single" w:sz="4" w:space="0" w:color="auto"/>
              <w:bottom w:val="single" w:sz="4" w:space="0" w:color="auto"/>
              <w:right w:val="single" w:sz="4" w:space="0" w:color="auto"/>
            </w:tcBorders>
            <w:shd w:val="clear" w:color="000000" w:fill="FFF2CC"/>
            <w:noWrap/>
            <w:vAlign w:val="center"/>
            <w:hideMark/>
          </w:tcPr>
          <w:p w14:paraId="097C8AC8" w14:textId="77777777" w:rsidR="00E02032" w:rsidRPr="004C209D" w:rsidRDefault="00E02032" w:rsidP="00233C12">
            <w:pPr>
              <w:jc w:val="center"/>
              <w:rPr>
                <w:b/>
                <w:bCs/>
                <w:color w:val="000000"/>
                <w:sz w:val="16"/>
                <w:szCs w:val="16"/>
              </w:rPr>
            </w:pPr>
            <w:r w:rsidRPr="004C209D">
              <w:rPr>
                <w:b/>
                <w:bCs/>
                <w:color w:val="000000"/>
                <w:sz w:val="16"/>
                <w:szCs w:val="16"/>
              </w:rPr>
              <w:t>1 </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09E4BE67" w14:textId="77777777" w:rsidR="00E02032" w:rsidRPr="004C209D" w:rsidRDefault="00E02032" w:rsidP="00233C12">
            <w:pPr>
              <w:jc w:val="center"/>
              <w:rPr>
                <w:color w:val="000000" w:themeColor="text1"/>
                <w:sz w:val="16"/>
                <w:szCs w:val="16"/>
              </w:rPr>
            </w:pPr>
            <w:r w:rsidRPr="004C209D">
              <w:rPr>
                <w:color w:val="000000" w:themeColor="text1"/>
                <w:sz w:val="16"/>
                <w:szCs w:val="16"/>
              </w:rPr>
              <w:t>LOBAYE</w:t>
            </w:r>
          </w:p>
        </w:tc>
        <w:tc>
          <w:tcPr>
            <w:tcW w:w="1418" w:type="dxa"/>
            <w:tcBorders>
              <w:top w:val="nil"/>
              <w:left w:val="nil"/>
              <w:bottom w:val="single" w:sz="4" w:space="0" w:color="auto"/>
              <w:right w:val="single" w:sz="4" w:space="0" w:color="auto"/>
            </w:tcBorders>
            <w:shd w:val="clear" w:color="auto" w:fill="auto"/>
            <w:hideMark/>
          </w:tcPr>
          <w:p w14:paraId="27691B2F" w14:textId="77777777" w:rsidR="00E02032" w:rsidRPr="004C209D" w:rsidRDefault="00E02032" w:rsidP="00233C12">
            <w:pPr>
              <w:rPr>
                <w:color w:val="000000" w:themeColor="text1"/>
                <w:sz w:val="16"/>
                <w:szCs w:val="16"/>
              </w:rPr>
            </w:pPr>
            <w:r w:rsidRPr="004C209D">
              <w:rPr>
                <w:color w:val="000000" w:themeColor="text1"/>
                <w:sz w:val="16"/>
                <w:szCs w:val="16"/>
              </w:rPr>
              <w:t>MBAIKI </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14:paraId="0644A289" w14:textId="77777777" w:rsidR="00E02032" w:rsidRPr="004C209D" w:rsidRDefault="00E02032" w:rsidP="00233C12">
            <w:pPr>
              <w:rPr>
                <w:color w:val="000000" w:themeColor="text1"/>
                <w:sz w:val="16"/>
                <w:szCs w:val="16"/>
              </w:rPr>
            </w:pPr>
            <w:r w:rsidRPr="004C209D">
              <w:rPr>
                <w:color w:val="000000" w:themeColor="text1"/>
                <w:sz w:val="16"/>
                <w:szCs w:val="16"/>
              </w:rPr>
              <w:t>DS. 1.1 MBAIKI </w:t>
            </w:r>
          </w:p>
        </w:tc>
        <w:tc>
          <w:tcPr>
            <w:tcW w:w="1417" w:type="dxa"/>
            <w:tcBorders>
              <w:top w:val="nil"/>
              <w:left w:val="nil"/>
              <w:bottom w:val="single" w:sz="4" w:space="0" w:color="auto"/>
              <w:right w:val="single" w:sz="4" w:space="0" w:color="auto"/>
            </w:tcBorders>
            <w:shd w:val="clear" w:color="auto" w:fill="auto"/>
            <w:hideMark/>
          </w:tcPr>
          <w:p w14:paraId="121C07B0" w14:textId="77777777" w:rsidR="00E02032" w:rsidRPr="004C209D" w:rsidRDefault="00E02032" w:rsidP="00233C12">
            <w:pPr>
              <w:rPr>
                <w:color w:val="000000" w:themeColor="text1"/>
                <w:sz w:val="16"/>
                <w:szCs w:val="16"/>
              </w:rPr>
            </w:pPr>
            <w:r w:rsidRPr="004C209D">
              <w:rPr>
                <w:color w:val="000000" w:themeColor="text1"/>
                <w:sz w:val="16"/>
                <w:szCs w:val="16"/>
              </w:rPr>
              <w:t>TEARFUND</w:t>
            </w:r>
          </w:p>
        </w:tc>
        <w:tc>
          <w:tcPr>
            <w:tcW w:w="850" w:type="dxa"/>
            <w:tcBorders>
              <w:top w:val="nil"/>
              <w:left w:val="nil"/>
              <w:bottom w:val="single" w:sz="4" w:space="0" w:color="auto"/>
              <w:right w:val="single" w:sz="4" w:space="0" w:color="auto"/>
            </w:tcBorders>
            <w:shd w:val="clear" w:color="auto" w:fill="auto"/>
            <w:hideMark/>
          </w:tcPr>
          <w:p w14:paraId="585F9AF7"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66C8E020"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708" w:type="dxa"/>
            <w:tcBorders>
              <w:top w:val="nil"/>
              <w:left w:val="nil"/>
              <w:bottom w:val="single" w:sz="4" w:space="0" w:color="auto"/>
              <w:right w:val="single" w:sz="4" w:space="0" w:color="auto"/>
            </w:tcBorders>
            <w:shd w:val="clear" w:color="auto" w:fill="auto"/>
            <w:hideMark/>
          </w:tcPr>
          <w:p w14:paraId="434B2921"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3575BA58" w14:textId="77777777" w:rsidR="00E02032" w:rsidRPr="004C209D" w:rsidRDefault="00E02032" w:rsidP="00233C12">
            <w:pPr>
              <w:rPr>
                <w:color w:val="000000" w:themeColor="text1"/>
                <w:sz w:val="16"/>
                <w:szCs w:val="16"/>
              </w:rPr>
            </w:pPr>
            <w:r w:rsidRPr="004C209D">
              <w:rPr>
                <w:color w:val="000000" w:themeColor="text1"/>
                <w:sz w:val="16"/>
                <w:szCs w:val="16"/>
              </w:rPr>
              <w:t>TEARFUND</w:t>
            </w:r>
          </w:p>
        </w:tc>
      </w:tr>
      <w:tr w:rsidR="00E02032" w:rsidRPr="004C209D" w14:paraId="0A60A85E"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79E36F70"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2537197F"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4DD9DB40" w14:textId="77777777" w:rsidR="00E02032" w:rsidRPr="004C209D" w:rsidRDefault="00E02032" w:rsidP="00233C12">
            <w:pPr>
              <w:rPr>
                <w:color w:val="000000" w:themeColor="text1"/>
                <w:sz w:val="16"/>
                <w:szCs w:val="16"/>
              </w:rPr>
            </w:pPr>
            <w:r w:rsidRPr="004C209D">
              <w:rPr>
                <w:color w:val="000000" w:themeColor="text1"/>
                <w:sz w:val="16"/>
                <w:szCs w:val="16"/>
              </w:rPr>
              <w:t>MONGOUMBA </w:t>
            </w:r>
          </w:p>
        </w:tc>
        <w:tc>
          <w:tcPr>
            <w:tcW w:w="1560" w:type="dxa"/>
            <w:vMerge/>
            <w:tcBorders>
              <w:top w:val="nil"/>
              <w:left w:val="single" w:sz="4" w:space="0" w:color="auto"/>
              <w:bottom w:val="single" w:sz="4" w:space="0" w:color="auto"/>
              <w:right w:val="single" w:sz="4" w:space="0" w:color="auto"/>
            </w:tcBorders>
            <w:vAlign w:val="center"/>
            <w:hideMark/>
          </w:tcPr>
          <w:p w14:paraId="39BD1658" w14:textId="77777777" w:rsidR="00E02032" w:rsidRPr="004C209D" w:rsidRDefault="00E02032" w:rsidP="00233C12">
            <w:pPr>
              <w:rPr>
                <w:color w:val="000000" w:themeColor="text1"/>
                <w:sz w:val="16"/>
                <w:szCs w:val="16"/>
              </w:rPr>
            </w:pPr>
          </w:p>
        </w:tc>
        <w:tc>
          <w:tcPr>
            <w:tcW w:w="1417" w:type="dxa"/>
            <w:tcBorders>
              <w:top w:val="nil"/>
              <w:left w:val="nil"/>
              <w:bottom w:val="single" w:sz="4" w:space="0" w:color="auto"/>
              <w:right w:val="single" w:sz="4" w:space="0" w:color="auto"/>
            </w:tcBorders>
            <w:shd w:val="clear" w:color="auto" w:fill="auto"/>
            <w:hideMark/>
          </w:tcPr>
          <w:p w14:paraId="260EFD9F" w14:textId="77777777" w:rsidR="00E02032" w:rsidRPr="004C209D" w:rsidRDefault="00E02032" w:rsidP="00233C12">
            <w:pPr>
              <w:rPr>
                <w:color w:val="000000" w:themeColor="text1"/>
                <w:sz w:val="16"/>
                <w:szCs w:val="16"/>
              </w:rPr>
            </w:pPr>
            <w:r w:rsidRPr="004C209D">
              <w:rPr>
                <w:color w:val="000000" w:themeColor="text1"/>
                <w:sz w:val="16"/>
                <w:szCs w:val="16"/>
              </w:rPr>
              <w:t>TEARFUND</w:t>
            </w:r>
          </w:p>
        </w:tc>
        <w:tc>
          <w:tcPr>
            <w:tcW w:w="850" w:type="dxa"/>
            <w:tcBorders>
              <w:top w:val="nil"/>
              <w:left w:val="nil"/>
              <w:bottom w:val="single" w:sz="4" w:space="0" w:color="auto"/>
              <w:right w:val="single" w:sz="4" w:space="0" w:color="auto"/>
            </w:tcBorders>
            <w:shd w:val="clear" w:color="auto" w:fill="auto"/>
            <w:hideMark/>
          </w:tcPr>
          <w:p w14:paraId="28247376"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196E4046"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708" w:type="dxa"/>
            <w:tcBorders>
              <w:top w:val="nil"/>
              <w:left w:val="nil"/>
              <w:bottom w:val="single" w:sz="4" w:space="0" w:color="auto"/>
              <w:right w:val="single" w:sz="4" w:space="0" w:color="auto"/>
            </w:tcBorders>
            <w:shd w:val="clear" w:color="auto" w:fill="auto"/>
            <w:hideMark/>
          </w:tcPr>
          <w:p w14:paraId="35A47F11"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02AB8D84" w14:textId="77777777" w:rsidR="00E02032" w:rsidRPr="004C209D" w:rsidRDefault="00E02032" w:rsidP="00233C12">
            <w:pPr>
              <w:rPr>
                <w:color w:val="000000" w:themeColor="text1"/>
                <w:sz w:val="16"/>
                <w:szCs w:val="16"/>
              </w:rPr>
            </w:pPr>
            <w:r w:rsidRPr="004C209D">
              <w:rPr>
                <w:color w:val="000000" w:themeColor="text1"/>
                <w:sz w:val="16"/>
                <w:szCs w:val="16"/>
              </w:rPr>
              <w:t>TEARFUND</w:t>
            </w:r>
          </w:p>
        </w:tc>
      </w:tr>
      <w:tr w:rsidR="00E02032" w:rsidRPr="004C209D" w14:paraId="15E21B9A"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3927E675"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4AC0EBD6"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66245D63" w14:textId="77777777" w:rsidR="00E02032" w:rsidRPr="004C209D" w:rsidRDefault="00E02032" w:rsidP="00233C12">
            <w:pPr>
              <w:rPr>
                <w:color w:val="000000" w:themeColor="text1"/>
                <w:sz w:val="16"/>
                <w:szCs w:val="16"/>
              </w:rPr>
            </w:pPr>
            <w:r w:rsidRPr="004C209D">
              <w:rPr>
                <w:color w:val="000000" w:themeColor="text1"/>
                <w:sz w:val="16"/>
                <w:szCs w:val="16"/>
              </w:rPr>
              <w:t>BODA </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14:paraId="1C1F8758" w14:textId="77777777" w:rsidR="00E02032" w:rsidRPr="004C209D" w:rsidRDefault="00E02032" w:rsidP="00233C12">
            <w:pPr>
              <w:rPr>
                <w:color w:val="000000" w:themeColor="text1"/>
                <w:sz w:val="16"/>
                <w:szCs w:val="16"/>
              </w:rPr>
            </w:pPr>
            <w:r w:rsidRPr="004C209D">
              <w:rPr>
                <w:color w:val="000000" w:themeColor="text1"/>
                <w:sz w:val="16"/>
                <w:szCs w:val="16"/>
              </w:rPr>
              <w:t>DS. 1.2 BODA </w:t>
            </w:r>
          </w:p>
        </w:tc>
        <w:tc>
          <w:tcPr>
            <w:tcW w:w="1417" w:type="dxa"/>
            <w:tcBorders>
              <w:top w:val="nil"/>
              <w:left w:val="nil"/>
              <w:bottom w:val="single" w:sz="4" w:space="0" w:color="auto"/>
              <w:right w:val="single" w:sz="4" w:space="0" w:color="auto"/>
            </w:tcBorders>
            <w:shd w:val="clear" w:color="auto" w:fill="auto"/>
            <w:hideMark/>
          </w:tcPr>
          <w:p w14:paraId="0097EF6C" w14:textId="77777777" w:rsidR="00E02032" w:rsidRPr="004C209D" w:rsidRDefault="00E02032" w:rsidP="00233C12">
            <w:pPr>
              <w:rPr>
                <w:color w:val="000000" w:themeColor="text1"/>
                <w:sz w:val="16"/>
                <w:szCs w:val="16"/>
              </w:rPr>
            </w:pPr>
            <w:r w:rsidRPr="004C209D">
              <w:rPr>
                <w:color w:val="000000" w:themeColor="text1"/>
                <w:sz w:val="16"/>
                <w:szCs w:val="16"/>
              </w:rPr>
              <w:t>TEARFUND</w:t>
            </w:r>
          </w:p>
        </w:tc>
        <w:tc>
          <w:tcPr>
            <w:tcW w:w="850" w:type="dxa"/>
            <w:tcBorders>
              <w:top w:val="nil"/>
              <w:left w:val="nil"/>
              <w:bottom w:val="single" w:sz="4" w:space="0" w:color="auto"/>
              <w:right w:val="single" w:sz="4" w:space="0" w:color="auto"/>
            </w:tcBorders>
            <w:shd w:val="clear" w:color="auto" w:fill="auto"/>
            <w:hideMark/>
          </w:tcPr>
          <w:p w14:paraId="5FC8BB67"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32CA4EF6"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708" w:type="dxa"/>
            <w:tcBorders>
              <w:top w:val="nil"/>
              <w:left w:val="nil"/>
              <w:bottom w:val="single" w:sz="4" w:space="0" w:color="auto"/>
              <w:right w:val="single" w:sz="4" w:space="0" w:color="auto"/>
            </w:tcBorders>
            <w:shd w:val="clear" w:color="auto" w:fill="auto"/>
            <w:hideMark/>
          </w:tcPr>
          <w:p w14:paraId="164411EE"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4C7093C7" w14:textId="77777777" w:rsidR="00E02032" w:rsidRPr="004C209D" w:rsidRDefault="00E02032" w:rsidP="00233C12">
            <w:pPr>
              <w:rPr>
                <w:color w:val="000000" w:themeColor="text1"/>
                <w:sz w:val="16"/>
                <w:szCs w:val="16"/>
              </w:rPr>
            </w:pPr>
            <w:r w:rsidRPr="004C209D">
              <w:rPr>
                <w:color w:val="000000" w:themeColor="text1"/>
                <w:sz w:val="16"/>
                <w:szCs w:val="16"/>
              </w:rPr>
              <w:t>TEARFUND</w:t>
            </w:r>
          </w:p>
        </w:tc>
      </w:tr>
      <w:tr w:rsidR="00E02032" w:rsidRPr="004C209D" w14:paraId="6660B38C"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1E49A269"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09E86A38"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343F922E" w14:textId="77777777" w:rsidR="00E02032" w:rsidRPr="004C209D" w:rsidRDefault="00E02032" w:rsidP="00233C12">
            <w:pPr>
              <w:rPr>
                <w:color w:val="000000" w:themeColor="text1"/>
                <w:sz w:val="16"/>
                <w:szCs w:val="16"/>
              </w:rPr>
            </w:pPr>
            <w:r w:rsidRPr="004C209D">
              <w:rPr>
                <w:color w:val="000000" w:themeColor="text1"/>
                <w:sz w:val="16"/>
                <w:szCs w:val="16"/>
              </w:rPr>
              <w:t>BOGANANGONE </w:t>
            </w:r>
          </w:p>
        </w:tc>
        <w:tc>
          <w:tcPr>
            <w:tcW w:w="1560" w:type="dxa"/>
            <w:vMerge/>
            <w:tcBorders>
              <w:top w:val="nil"/>
              <w:left w:val="single" w:sz="4" w:space="0" w:color="auto"/>
              <w:bottom w:val="single" w:sz="4" w:space="0" w:color="auto"/>
              <w:right w:val="single" w:sz="4" w:space="0" w:color="auto"/>
            </w:tcBorders>
            <w:shd w:val="clear" w:color="auto" w:fill="auto"/>
            <w:vAlign w:val="center"/>
            <w:hideMark/>
          </w:tcPr>
          <w:p w14:paraId="05D7AC28" w14:textId="77777777" w:rsidR="00E02032" w:rsidRPr="004C209D" w:rsidRDefault="00E02032" w:rsidP="00233C12">
            <w:pPr>
              <w:rPr>
                <w:color w:val="000000" w:themeColor="text1"/>
                <w:sz w:val="16"/>
                <w:szCs w:val="16"/>
              </w:rPr>
            </w:pPr>
          </w:p>
        </w:tc>
        <w:tc>
          <w:tcPr>
            <w:tcW w:w="1417" w:type="dxa"/>
            <w:tcBorders>
              <w:top w:val="nil"/>
              <w:left w:val="nil"/>
              <w:bottom w:val="single" w:sz="4" w:space="0" w:color="auto"/>
              <w:right w:val="single" w:sz="4" w:space="0" w:color="auto"/>
            </w:tcBorders>
            <w:shd w:val="clear" w:color="auto" w:fill="auto"/>
            <w:hideMark/>
          </w:tcPr>
          <w:p w14:paraId="3DF42BE9" w14:textId="77777777" w:rsidR="00E02032" w:rsidRPr="004C209D" w:rsidRDefault="00E02032" w:rsidP="00233C12">
            <w:pPr>
              <w:rPr>
                <w:color w:val="000000" w:themeColor="text1"/>
                <w:sz w:val="16"/>
                <w:szCs w:val="16"/>
              </w:rPr>
            </w:pPr>
            <w:r w:rsidRPr="004C209D">
              <w:rPr>
                <w:color w:val="000000" w:themeColor="text1"/>
                <w:sz w:val="16"/>
                <w:szCs w:val="16"/>
              </w:rPr>
              <w:t>CONCERN</w:t>
            </w:r>
          </w:p>
        </w:tc>
        <w:tc>
          <w:tcPr>
            <w:tcW w:w="850" w:type="dxa"/>
            <w:tcBorders>
              <w:top w:val="nil"/>
              <w:left w:val="nil"/>
              <w:bottom w:val="single" w:sz="4" w:space="0" w:color="auto"/>
              <w:right w:val="single" w:sz="4" w:space="0" w:color="auto"/>
            </w:tcBorders>
            <w:shd w:val="clear" w:color="auto" w:fill="auto"/>
            <w:hideMark/>
          </w:tcPr>
          <w:p w14:paraId="5B455805"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0E4E9182"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708" w:type="dxa"/>
            <w:tcBorders>
              <w:top w:val="nil"/>
              <w:left w:val="nil"/>
              <w:bottom w:val="single" w:sz="4" w:space="0" w:color="auto"/>
              <w:right w:val="single" w:sz="4" w:space="0" w:color="auto"/>
            </w:tcBorders>
            <w:shd w:val="clear" w:color="auto" w:fill="auto"/>
            <w:hideMark/>
          </w:tcPr>
          <w:p w14:paraId="7730EBF5" w14:textId="77777777" w:rsidR="00E02032" w:rsidRPr="004C209D" w:rsidRDefault="00E02032" w:rsidP="00233C12">
            <w:pPr>
              <w:ind w:left="-50" w:firstLine="50"/>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2AD91E00" w14:textId="77777777" w:rsidR="00E02032" w:rsidRPr="004C209D" w:rsidRDefault="00E02032" w:rsidP="00233C12">
            <w:pPr>
              <w:rPr>
                <w:color w:val="000000" w:themeColor="text1"/>
                <w:sz w:val="16"/>
                <w:szCs w:val="16"/>
              </w:rPr>
            </w:pPr>
            <w:r w:rsidRPr="004C209D">
              <w:rPr>
                <w:color w:val="000000" w:themeColor="text1"/>
                <w:sz w:val="16"/>
                <w:szCs w:val="16"/>
              </w:rPr>
              <w:t> </w:t>
            </w:r>
          </w:p>
        </w:tc>
      </w:tr>
      <w:tr w:rsidR="00E02032" w:rsidRPr="004C209D" w14:paraId="057C6CA0"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26D501FD"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54BA119D"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0142918D" w14:textId="77777777" w:rsidR="00E02032" w:rsidRPr="004C209D" w:rsidRDefault="00E02032" w:rsidP="00233C12">
            <w:pPr>
              <w:rPr>
                <w:color w:val="000000" w:themeColor="text1"/>
                <w:sz w:val="16"/>
                <w:szCs w:val="16"/>
              </w:rPr>
            </w:pPr>
            <w:r w:rsidRPr="004C209D">
              <w:rPr>
                <w:color w:val="000000" w:themeColor="text1"/>
                <w:sz w:val="16"/>
                <w:szCs w:val="16"/>
              </w:rPr>
              <w:t>BOGANDA </w:t>
            </w:r>
          </w:p>
        </w:tc>
        <w:tc>
          <w:tcPr>
            <w:tcW w:w="1560" w:type="dxa"/>
            <w:vMerge/>
            <w:tcBorders>
              <w:top w:val="nil"/>
              <w:left w:val="single" w:sz="4" w:space="0" w:color="auto"/>
              <w:bottom w:val="single" w:sz="4" w:space="0" w:color="auto"/>
              <w:right w:val="single" w:sz="4" w:space="0" w:color="auto"/>
            </w:tcBorders>
            <w:shd w:val="clear" w:color="auto" w:fill="auto"/>
            <w:vAlign w:val="center"/>
            <w:hideMark/>
          </w:tcPr>
          <w:p w14:paraId="71D675B5" w14:textId="77777777" w:rsidR="00E02032" w:rsidRPr="004C209D" w:rsidRDefault="00E02032" w:rsidP="00233C12">
            <w:pPr>
              <w:rPr>
                <w:color w:val="000000" w:themeColor="text1"/>
                <w:sz w:val="16"/>
                <w:szCs w:val="16"/>
              </w:rPr>
            </w:pPr>
          </w:p>
        </w:tc>
        <w:tc>
          <w:tcPr>
            <w:tcW w:w="1417" w:type="dxa"/>
            <w:tcBorders>
              <w:top w:val="nil"/>
              <w:left w:val="nil"/>
              <w:bottom w:val="single" w:sz="4" w:space="0" w:color="auto"/>
              <w:right w:val="single" w:sz="4" w:space="0" w:color="auto"/>
            </w:tcBorders>
            <w:shd w:val="clear" w:color="auto" w:fill="auto"/>
            <w:hideMark/>
          </w:tcPr>
          <w:p w14:paraId="4B6E9664"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850" w:type="dxa"/>
            <w:tcBorders>
              <w:top w:val="nil"/>
              <w:left w:val="nil"/>
              <w:bottom w:val="single" w:sz="4" w:space="0" w:color="auto"/>
              <w:right w:val="single" w:sz="4" w:space="0" w:color="auto"/>
            </w:tcBorders>
            <w:shd w:val="clear" w:color="auto" w:fill="auto"/>
            <w:hideMark/>
          </w:tcPr>
          <w:p w14:paraId="6C8C6672"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614327BC"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708" w:type="dxa"/>
            <w:tcBorders>
              <w:top w:val="nil"/>
              <w:left w:val="nil"/>
              <w:bottom w:val="single" w:sz="4" w:space="0" w:color="auto"/>
              <w:right w:val="single" w:sz="4" w:space="0" w:color="auto"/>
            </w:tcBorders>
            <w:shd w:val="clear" w:color="auto" w:fill="auto"/>
            <w:hideMark/>
          </w:tcPr>
          <w:p w14:paraId="68584F1B"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1EDFA9A9" w14:textId="77777777" w:rsidR="00E02032" w:rsidRPr="004C209D" w:rsidRDefault="00E02032" w:rsidP="00233C12">
            <w:pPr>
              <w:rPr>
                <w:color w:val="000000" w:themeColor="text1"/>
                <w:sz w:val="16"/>
                <w:szCs w:val="16"/>
              </w:rPr>
            </w:pPr>
            <w:r w:rsidRPr="004C209D">
              <w:rPr>
                <w:color w:val="000000" w:themeColor="text1"/>
                <w:sz w:val="16"/>
                <w:szCs w:val="16"/>
              </w:rPr>
              <w:t> </w:t>
            </w:r>
          </w:p>
        </w:tc>
      </w:tr>
      <w:tr w:rsidR="00E02032" w:rsidRPr="004C209D" w14:paraId="3479B05D"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115FDA65" w14:textId="77777777" w:rsidR="00E02032" w:rsidRPr="004C209D" w:rsidRDefault="00E02032" w:rsidP="00233C12">
            <w:pPr>
              <w:rPr>
                <w:b/>
                <w:bCs/>
                <w:color w:val="000000"/>
                <w:sz w:val="16"/>
                <w:szCs w:val="16"/>
              </w:rPr>
            </w:pP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254A04DF" w14:textId="77777777" w:rsidR="00E02032" w:rsidRPr="004C209D" w:rsidRDefault="00E02032" w:rsidP="00233C12">
            <w:pPr>
              <w:rPr>
                <w:color w:val="000000" w:themeColor="text1"/>
                <w:sz w:val="16"/>
                <w:szCs w:val="16"/>
              </w:rPr>
            </w:pPr>
            <w:r w:rsidRPr="004C209D">
              <w:rPr>
                <w:color w:val="000000" w:themeColor="text1"/>
                <w:sz w:val="16"/>
                <w:szCs w:val="16"/>
              </w:rPr>
              <w:t>Ombella-Mpoko </w:t>
            </w:r>
          </w:p>
        </w:tc>
        <w:tc>
          <w:tcPr>
            <w:tcW w:w="1418" w:type="dxa"/>
            <w:tcBorders>
              <w:top w:val="nil"/>
              <w:left w:val="nil"/>
              <w:bottom w:val="single" w:sz="4" w:space="0" w:color="auto"/>
              <w:right w:val="single" w:sz="4" w:space="0" w:color="auto"/>
            </w:tcBorders>
            <w:shd w:val="clear" w:color="auto" w:fill="auto"/>
            <w:hideMark/>
          </w:tcPr>
          <w:p w14:paraId="23A9B0FC" w14:textId="77777777" w:rsidR="00E02032" w:rsidRPr="004C209D" w:rsidRDefault="00E02032" w:rsidP="00233C12">
            <w:pPr>
              <w:rPr>
                <w:color w:val="000000" w:themeColor="text1"/>
                <w:sz w:val="16"/>
                <w:szCs w:val="16"/>
              </w:rPr>
            </w:pPr>
            <w:r w:rsidRPr="004C209D">
              <w:rPr>
                <w:color w:val="000000" w:themeColor="text1"/>
                <w:sz w:val="16"/>
                <w:szCs w:val="16"/>
              </w:rPr>
              <w:t>BIMBO IV</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14:paraId="3FF78272" w14:textId="77777777" w:rsidR="00E02032" w:rsidRPr="004C209D" w:rsidRDefault="00E02032" w:rsidP="00233C12">
            <w:pPr>
              <w:rPr>
                <w:color w:val="000000" w:themeColor="text1"/>
                <w:sz w:val="16"/>
                <w:szCs w:val="16"/>
              </w:rPr>
            </w:pPr>
            <w:r w:rsidRPr="004C209D">
              <w:rPr>
                <w:color w:val="000000" w:themeColor="text1"/>
                <w:sz w:val="16"/>
                <w:szCs w:val="16"/>
              </w:rPr>
              <w:t>DS. 1.3 BEGOUA </w:t>
            </w:r>
          </w:p>
        </w:tc>
        <w:tc>
          <w:tcPr>
            <w:tcW w:w="1417" w:type="dxa"/>
            <w:tcBorders>
              <w:top w:val="nil"/>
              <w:left w:val="nil"/>
              <w:bottom w:val="single" w:sz="4" w:space="0" w:color="auto"/>
              <w:right w:val="single" w:sz="4" w:space="0" w:color="auto"/>
            </w:tcBorders>
            <w:shd w:val="clear" w:color="auto" w:fill="auto"/>
            <w:hideMark/>
          </w:tcPr>
          <w:p w14:paraId="15543385" w14:textId="77777777" w:rsidR="00E02032" w:rsidRPr="004C209D" w:rsidRDefault="00E02032" w:rsidP="00233C12">
            <w:pPr>
              <w:rPr>
                <w:color w:val="000000" w:themeColor="text1"/>
                <w:sz w:val="16"/>
                <w:szCs w:val="16"/>
              </w:rPr>
            </w:pPr>
            <w:r w:rsidRPr="004C209D">
              <w:rPr>
                <w:color w:val="000000" w:themeColor="text1"/>
                <w:sz w:val="16"/>
                <w:szCs w:val="16"/>
              </w:rPr>
              <w:t>IRC, OXFAM, MERCY CORPS</w:t>
            </w:r>
          </w:p>
        </w:tc>
        <w:tc>
          <w:tcPr>
            <w:tcW w:w="850" w:type="dxa"/>
            <w:tcBorders>
              <w:top w:val="nil"/>
              <w:left w:val="nil"/>
              <w:bottom w:val="single" w:sz="4" w:space="0" w:color="auto"/>
              <w:right w:val="single" w:sz="4" w:space="0" w:color="auto"/>
            </w:tcBorders>
            <w:shd w:val="clear" w:color="auto" w:fill="auto"/>
            <w:hideMark/>
          </w:tcPr>
          <w:p w14:paraId="5A494291" w14:textId="77777777" w:rsidR="00E02032" w:rsidRPr="004C209D" w:rsidRDefault="00E02032" w:rsidP="00233C12">
            <w:pPr>
              <w:rPr>
                <w:color w:val="000000" w:themeColor="text1"/>
                <w:sz w:val="16"/>
                <w:szCs w:val="16"/>
              </w:rPr>
            </w:pPr>
            <w:r w:rsidRPr="004C209D">
              <w:rPr>
                <w:color w:val="000000" w:themeColor="text1"/>
                <w:sz w:val="16"/>
                <w:szCs w:val="16"/>
              </w:rPr>
              <w:t>ALIMA</w:t>
            </w:r>
          </w:p>
        </w:tc>
        <w:tc>
          <w:tcPr>
            <w:tcW w:w="1276" w:type="dxa"/>
            <w:tcBorders>
              <w:top w:val="nil"/>
              <w:left w:val="nil"/>
              <w:bottom w:val="single" w:sz="4" w:space="0" w:color="auto"/>
              <w:right w:val="single" w:sz="4" w:space="0" w:color="auto"/>
            </w:tcBorders>
            <w:shd w:val="clear" w:color="auto" w:fill="auto"/>
            <w:hideMark/>
          </w:tcPr>
          <w:p w14:paraId="478B98EE" w14:textId="77777777" w:rsidR="00E02032" w:rsidRPr="004C209D" w:rsidRDefault="00E02032" w:rsidP="00233C12">
            <w:pPr>
              <w:rPr>
                <w:color w:val="000000" w:themeColor="text1"/>
                <w:sz w:val="16"/>
                <w:szCs w:val="16"/>
              </w:rPr>
            </w:pPr>
            <w:r w:rsidRPr="004C209D">
              <w:rPr>
                <w:color w:val="000000" w:themeColor="text1"/>
                <w:sz w:val="16"/>
                <w:szCs w:val="16"/>
              </w:rPr>
              <w:t>IRC, ALIMA, MERCY CORPS</w:t>
            </w:r>
          </w:p>
        </w:tc>
        <w:tc>
          <w:tcPr>
            <w:tcW w:w="708" w:type="dxa"/>
            <w:tcBorders>
              <w:top w:val="nil"/>
              <w:left w:val="nil"/>
              <w:bottom w:val="single" w:sz="4" w:space="0" w:color="auto"/>
              <w:right w:val="single" w:sz="4" w:space="0" w:color="auto"/>
            </w:tcBorders>
            <w:shd w:val="clear" w:color="auto" w:fill="auto"/>
            <w:hideMark/>
          </w:tcPr>
          <w:p w14:paraId="5176BDA6"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53566551" w14:textId="77777777" w:rsidR="00E02032" w:rsidRPr="004C209D" w:rsidRDefault="00E02032" w:rsidP="00233C12">
            <w:pPr>
              <w:rPr>
                <w:color w:val="000000" w:themeColor="text1"/>
                <w:sz w:val="16"/>
                <w:szCs w:val="16"/>
              </w:rPr>
            </w:pPr>
            <w:r w:rsidRPr="004C209D">
              <w:rPr>
                <w:color w:val="000000" w:themeColor="text1"/>
                <w:sz w:val="16"/>
                <w:szCs w:val="16"/>
              </w:rPr>
              <w:t>IRC, OXFAM, MERCY CORPS</w:t>
            </w:r>
          </w:p>
        </w:tc>
      </w:tr>
      <w:tr w:rsidR="00E02032" w:rsidRPr="004C209D" w14:paraId="5187CBA8"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3B6FB4C1"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47762934"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1B17889C" w14:textId="77777777" w:rsidR="00E02032" w:rsidRPr="004C209D" w:rsidRDefault="00E02032" w:rsidP="00233C12">
            <w:pPr>
              <w:rPr>
                <w:color w:val="000000" w:themeColor="text1"/>
                <w:sz w:val="16"/>
                <w:szCs w:val="16"/>
              </w:rPr>
            </w:pPr>
            <w:r w:rsidRPr="004C209D">
              <w:rPr>
                <w:color w:val="000000" w:themeColor="text1"/>
                <w:sz w:val="16"/>
                <w:szCs w:val="16"/>
              </w:rPr>
              <w:t>DAMARA </w:t>
            </w:r>
          </w:p>
        </w:tc>
        <w:tc>
          <w:tcPr>
            <w:tcW w:w="1560" w:type="dxa"/>
            <w:vMerge/>
            <w:tcBorders>
              <w:top w:val="nil"/>
              <w:left w:val="single" w:sz="4" w:space="0" w:color="auto"/>
              <w:bottom w:val="single" w:sz="4" w:space="0" w:color="auto"/>
              <w:right w:val="single" w:sz="4" w:space="0" w:color="auto"/>
            </w:tcBorders>
            <w:shd w:val="clear" w:color="auto" w:fill="auto"/>
            <w:vAlign w:val="center"/>
            <w:hideMark/>
          </w:tcPr>
          <w:p w14:paraId="70E07E8B" w14:textId="77777777" w:rsidR="00E02032" w:rsidRPr="004C209D" w:rsidRDefault="00E02032" w:rsidP="00233C12">
            <w:pPr>
              <w:rPr>
                <w:color w:val="000000" w:themeColor="text1"/>
                <w:sz w:val="16"/>
                <w:szCs w:val="16"/>
              </w:rPr>
            </w:pPr>
          </w:p>
        </w:tc>
        <w:tc>
          <w:tcPr>
            <w:tcW w:w="1417" w:type="dxa"/>
            <w:tcBorders>
              <w:top w:val="nil"/>
              <w:left w:val="nil"/>
              <w:bottom w:val="single" w:sz="4" w:space="0" w:color="auto"/>
              <w:right w:val="single" w:sz="4" w:space="0" w:color="auto"/>
            </w:tcBorders>
            <w:shd w:val="clear" w:color="auto" w:fill="auto"/>
            <w:hideMark/>
          </w:tcPr>
          <w:p w14:paraId="6F638B56"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850" w:type="dxa"/>
            <w:tcBorders>
              <w:top w:val="nil"/>
              <w:left w:val="nil"/>
              <w:bottom w:val="single" w:sz="4" w:space="0" w:color="auto"/>
              <w:right w:val="single" w:sz="4" w:space="0" w:color="auto"/>
            </w:tcBorders>
            <w:shd w:val="clear" w:color="auto" w:fill="auto"/>
            <w:hideMark/>
          </w:tcPr>
          <w:p w14:paraId="58E5515C" w14:textId="77777777" w:rsidR="00E02032" w:rsidRPr="004C209D" w:rsidRDefault="00E02032" w:rsidP="00233C12">
            <w:pPr>
              <w:rPr>
                <w:color w:val="000000" w:themeColor="text1"/>
                <w:sz w:val="16"/>
                <w:szCs w:val="16"/>
              </w:rPr>
            </w:pPr>
            <w:r w:rsidRPr="004C209D">
              <w:rPr>
                <w:color w:val="000000" w:themeColor="text1"/>
                <w:sz w:val="16"/>
                <w:szCs w:val="16"/>
              </w:rPr>
              <w:t>MDM</w:t>
            </w:r>
          </w:p>
        </w:tc>
        <w:tc>
          <w:tcPr>
            <w:tcW w:w="1276" w:type="dxa"/>
            <w:tcBorders>
              <w:top w:val="nil"/>
              <w:left w:val="nil"/>
              <w:bottom w:val="single" w:sz="4" w:space="0" w:color="auto"/>
              <w:right w:val="single" w:sz="4" w:space="0" w:color="auto"/>
            </w:tcBorders>
            <w:shd w:val="clear" w:color="auto" w:fill="auto"/>
            <w:hideMark/>
          </w:tcPr>
          <w:p w14:paraId="706F1EA5" w14:textId="77777777" w:rsidR="00E02032" w:rsidRPr="004C209D" w:rsidRDefault="00E02032" w:rsidP="00233C12">
            <w:pPr>
              <w:rPr>
                <w:color w:val="000000" w:themeColor="text1"/>
                <w:sz w:val="16"/>
                <w:szCs w:val="16"/>
              </w:rPr>
            </w:pPr>
            <w:r w:rsidRPr="004C209D">
              <w:rPr>
                <w:color w:val="000000" w:themeColor="text1"/>
                <w:sz w:val="16"/>
                <w:szCs w:val="16"/>
              </w:rPr>
              <w:t>MDM</w:t>
            </w:r>
          </w:p>
        </w:tc>
        <w:tc>
          <w:tcPr>
            <w:tcW w:w="708" w:type="dxa"/>
            <w:tcBorders>
              <w:top w:val="nil"/>
              <w:left w:val="nil"/>
              <w:bottom w:val="single" w:sz="4" w:space="0" w:color="auto"/>
              <w:right w:val="single" w:sz="4" w:space="0" w:color="auto"/>
            </w:tcBorders>
            <w:shd w:val="clear" w:color="auto" w:fill="auto"/>
            <w:hideMark/>
          </w:tcPr>
          <w:p w14:paraId="71F7932E" w14:textId="77777777" w:rsidR="00E02032" w:rsidRPr="004C209D" w:rsidRDefault="00E02032" w:rsidP="00233C12">
            <w:pPr>
              <w:rPr>
                <w:color w:val="000000" w:themeColor="text1"/>
                <w:sz w:val="16"/>
                <w:szCs w:val="16"/>
              </w:rPr>
            </w:pPr>
            <w:r w:rsidRPr="004C209D">
              <w:rPr>
                <w:color w:val="000000" w:themeColor="text1"/>
                <w:sz w:val="16"/>
                <w:szCs w:val="16"/>
              </w:rPr>
              <w:t>MDM</w:t>
            </w:r>
          </w:p>
        </w:tc>
        <w:tc>
          <w:tcPr>
            <w:tcW w:w="1276" w:type="dxa"/>
            <w:tcBorders>
              <w:top w:val="nil"/>
              <w:left w:val="nil"/>
              <w:bottom w:val="single" w:sz="4" w:space="0" w:color="auto"/>
              <w:right w:val="single" w:sz="4" w:space="0" w:color="auto"/>
            </w:tcBorders>
            <w:shd w:val="clear" w:color="auto" w:fill="auto"/>
            <w:hideMark/>
          </w:tcPr>
          <w:p w14:paraId="41D633A3" w14:textId="77777777" w:rsidR="00E02032" w:rsidRPr="004C209D" w:rsidRDefault="00E02032" w:rsidP="00233C12">
            <w:pPr>
              <w:rPr>
                <w:color w:val="000000" w:themeColor="text1"/>
                <w:sz w:val="16"/>
                <w:szCs w:val="16"/>
              </w:rPr>
            </w:pPr>
            <w:r w:rsidRPr="004C209D">
              <w:rPr>
                <w:color w:val="000000" w:themeColor="text1"/>
                <w:sz w:val="16"/>
                <w:szCs w:val="16"/>
              </w:rPr>
              <w:t> </w:t>
            </w:r>
          </w:p>
        </w:tc>
      </w:tr>
      <w:tr w:rsidR="00E02032" w:rsidRPr="004C209D" w14:paraId="29D2F862"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619CC4E5"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563A6F5D"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1ACF2B63" w14:textId="77777777" w:rsidR="00E02032" w:rsidRPr="004C209D" w:rsidRDefault="00E02032" w:rsidP="00233C12">
            <w:pPr>
              <w:rPr>
                <w:color w:val="000000" w:themeColor="text1"/>
                <w:sz w:val="16"/>
                <w:szCs w:val="16"/>
              </w:rPr>
            </w:pPr>
            <w:r w:rsidRPr="004C209D">
              <w:rPr>
                <w:color w:val="000000" w:themeColor="text1"/>
                <w:sz w:val="16"/>
                <w:szCs w:val="16"/>
              </w:rPr>
              <w:t xml:space="preserve">BAGONGOLO </w:t>
            </w:r>
          </w:p>
        </w:tc>
        <w:tc>
          <w:tcPr>
            <w:tcW w:w="1560" w:type="dxa"/>
            <w:vMerge/>
            <w:tcBorders>
              <w:top w:val="nil"/>
              <w:left w:val="single" w:sz="4" w:space="0" w:color="auto"/>
              <w:bottom w:val="single" w:sz="4" w:space="0" w:color="auto"/>
              <w:right w:val="single" w:sz="4" w:space="0" w:color="auto"/>
            </w:tcBorders>
            <w:shd w:val="clear" w:color="auto" w:fill="auto"/>
            <w:vAlign w:val="center"/>
            <w:hideMark/>
          </w:tcPr>
          <w:p w14:paraId="18C03E53" w14:textId="77777777" w:rsidR="00E02032" w:rsidRPr="004C209D" w:rsidRDefault="00E02032" w:rsidP="00233C12">
            <w:pPr>
              <w:rPr>
                <w:color w:val="000000" w:themeColor="text1"/>
                <w:sz w:val="16"/>
                <w:szCs w:val="16"/>
              </w:rPr>
            </w:pPr>
          </w:p>
        </w:tc>
        <w:tc>
          <w:tcPr>
            <w:tcW w:w="1417" w:type="dxa"/>
            <w:tcBorders>
              <w:top w:val="nil"/>
              <w:left w:val="nil"/>
              <w:bottom w:val="single" w:sz="4" w:space="0" w:color="auto"/>
              <w:right w:val="single" w:sz="4" w:space="0" w:color="auto"/>
            </w:tcBorders>
            <w:shd w:val="clear" w:color="auto" w:fill="auto"/>
            <w:hideMark/>
          </w:tcPr>
          <w:p w14:paraId="2223A2F6" w14:textId="77777777" w:rsidR="00E02032" w:rsidRPr="004C209D" w:rsidRDefault="00E02032" w:rsidP="00233C12">
            <w:pPr>
              <w:rPr>
                <w:color w:val="000000" w:themeColor="text1"/>
                <w:sz w:val="16"/>
                <w:szCs w:val="16"/>
              </w:rPr>
            </w:pPr>
            <w:r w:rsidRPr="004C209D">
              <w:rPr>
                <w:color w:val="000000" w:themeColor="text1"/>
                <w:sz w:val="16"/>
                <w:szCs w:val="16"/>
              </w:rPr>
              <w:t>TEARFUND</w:t>
            </w:r>
          </w:p>
        </w:tc>
        <w:tc>
          <w:tcPr>
            <w:tcW w:w="850" w:type="dxa"/>
            <w:tcBorders>
              <w:top w:val="nil"/>
              <w:left w:val="nil"/>
              <w:bottom w:val="single" w:sz="4" w:space="0" w:color="auto"/>
              <w:right w:val="single" w:sz="4" w:space="0" w:color="auto"/>
            </w:tcBorders>
            <w:shd w:val="clear" w:color="auto" w:fill="auto"/>
            <w:hideMark/>
          </w:tcPr>
          <w:p w14:paraId="4C2F82AB" w14:textId="77777777" w:rsidR="00E02032" w:rsidRPr="004C209D" w:rsidRDefault="00E02032" w:rsidP="00233C12">
            <w:pPr>
              <w:rPr>
                <w:color w:val="000000" w:themeColor="text1"/>
                <w:sz w:val="16"/>
                <w:szCs w:val="16"/>
              </w:rPr>
            </w:pPr>
            <w:r w:rsidRPr="004C209D">
              <w:rPr>
                <w:color w:val="000000" w:themeColor="text1"/>
                <w:sz w:val="16"/>
                <w:szCs w:val="16"/>
              </w:rPr>
              <w:t>MDM</w:t>
            </w:r>
          </w:p>
        </w:tc>
        <w:tc>
          <w:tcPr>
            <w:tcW w:w="1276" w:type="dxa"/>
            <w:tcBorders>
              <w:top w:val="nil"/>
              <w:left w:val="nil"/>
              <w:bottom w:val="single" w:sz="4" w:space="0" w:color="auto"/>
              <w:right w:val="single" w:sz="4" w:space="0" w:color="auto"/>
            </w:tcBorders>
            <w:shd w:val="clear" w:color="auto" w:fill="auto"/>
            <w:hideMark/>
          </w:tcPr>
          <w:p w14:paraId="55B4C904" w14:textId="77777777" w:rsidR="00E02032" w:rsidRPr="004C209D" w:rsidRDefault="00E02032" w:rsidP="00233C12">
            <w:pPr>
              <w:rPr>
                <w:color w:val="000000" w:themeColor="text1"/>
                <w:sz w:val="16"/>
                <w:szCs w:val="16"/>
              </w:rPr>
            </w:pPr>
            <w:r w:rsidRPr="004C209D">
              <w:rPr>
                <w:color w:val="000000" w:themeColor="text1"/>
                <w:sz w:val="16"/>
                <w:szCs w:val="16"/>
              </w:rPr>
              <w:t>MDM</w:t>
            </w:r>
          </w:p>
        </w:tc>
        <w:tc>
          <w:tcPr>
            <w:tcW w:w="708" w:type="dxa"/>
            <w:tcBorders>
              <w:top w:val="nil"/>
              <w:left w:val="nil"/>
              <w:bottom w:val="single" w:sz="4" w:space="0" w:color="auto"/>
              <w:right w:val="single" w:sz="4" w:space="0" w:color="auto"/>
            </w:tcBorders>
            <w:shd w:val="clear" w:color="auto" w:fill="auto"/>
            <w:hideMark/>
          </w:tcPr>
          <w:p w14:paraId="139071B4" w14:textId="77777777" w:rsidR="00E02032" w:rsidRPr="004C209D" w:rsidRDefault="00E02032" w:rsidP="00233C12">
            <w:pPr>
              <w:rPr>
                <w:color w:val="000000" w:themeColor="text1"/>
                <w:sz w:val="16"/>
                <w:szCs w:val="16"/>
              </w:rPr>
            </w:pPr>
            <w:r w:rsidRPr="004C209D">
              <w:rPr>
                <w:color w:val="000000" w:themeColor="text1"/>
                <w:sz w:val="16"/>
                <w:szCs w:val="16"/>
              </w:rPr>
              <w:t>MDM</w:t>
            </w:r>
          </w:p>
        </w:tc>
        <w:tc>
          <w:tcPr>
            <w:tcW w:w="1276" w:type="dxa"/>
            <w:tcBorders>
              <w:top w:val="nil"/>
              <w:left w:val="nil"/>
              <w:bottom w:val="single" w:sz="4" w:space="0" w:color="auto"/>
              <w:right w:val="single" w:sz="4" w:space="0" w:color="auto"/>
            </w:tcBorders>
            <w:shd w:val="clear" w:color="auto" w:fill="auto"/>
            <w:hideMark/>
          </w:tcPr>
          <w:p w14:paraId="2766B24D" w14:textId="77777777" w:rsidR="00E02032" w:rsidRPr="004C209D" w:rsidRDefault="00E02032" w:rsidP="00233C12">
            <w:pPr>
              <w:rPr>
                <w:color w:val="000000" w:themeColor="text1"/>
                <w:sz w:val="16"/>
                <w:szCs w:val="16"/>
              </w:rPr>
            </w:pPr>
            <w:r w:rsidRPr="004C209D">
              <w:rPr>
                <w:color w:val="000000" w:themeColor="text1"/>
                <w:sz w:val="16"/>
                <w:szCs w:val="16"/>
              </w:rPr>
              <w:t>TEARFUND</w:t>
            </w:r>
          </w:p>
        </w:tc>
      </w:tr>
      <w:tr w:rsidR="00E02032" w:rsidRPr="004C209D" w14:paraId="3AD9384D"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1D8F9B39"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2942A875"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7D4566AB" w14:textId="77777777" w:rsidR="00E02032" w:rsidRPr="003D6384" w:rsidRDefault="00E02032" w:rsidP="00233C12">
            <w:pPr>
              <w:rPr>
                <w:color w:val="000000" w:themeColor="text1"/>
                <w:sz w:val="16"/>
                <w:szCs w:val="16"/>
                <w:lang w:val="da-DK"/>
              </w:rPr>
            </w:pPr>
            <w:r w:rsidRPr="003D6384">
              <w:rPr>
                <w:color w:val="000000" w:themeColor="text1"/>
                <w:sz w:val="16"/>
                <w:szCs w:val="16"/>
                <w:lang w:val="da-DK"/>
              </w:rPr>
              <w:t>BIMBO I, II, III, V</w:t>
            </w:r>
          </w:p>
        </w:tc>
        <w:tc>
          <w:tcPr>
            <w:tcW w:w="1560" w:type="dxa"/>
            <w:tcBorders>
              <w:top w:val="nil"/>
              <w:left w:val="nil"/>
              <w:bottom w:val="single" w:sz="4" w:space="0" w:color="auto"/>
              <w:right w:val="single" w:sz="4" w:space="0" w:color="auto"/>
            </w:tcBorders>
            <w:shd w:val="clear" w:color="auto" w:fill="auto"/>
            <w:hideMark/>
          </w:tcPr>
          <w:p w14:paraId="6A80A9FA" w14:textId="77777777" w:rsidR="00E02032" w:rsidRPr="004C209D" w:rsidRDefault="00E02032" w:rsidP="00233C12">
            <w:pPr>
              <w:rPr>
                <w:color w:val="000000" w:themeColor="text1"/>
                <w:sz w:val="16"/>
                <w:szCs w:val="16"/>
              </w:rPr>
            </w:pPr>
            <w:r w:rsidRPr="004C209D">
              <w:rPr>
                <w:color w:val="000000" w:themeColor="text1"/>
                <w:sz w:val="16"/>
                <w:szCs w:val="16"/>
              </w:rPr>
              <w:t>DS. 1.4 BIMBO </w:t>
            </w:r>
          </w:p>
        </w:tc>
        <w:tc>
          <w:tcPr>
            <w:tcW w:w="1417" w:type="dxa"/>
            <w:tcBorders>
              <w:top w:val="nil"/>
              <w:left w:val="nil"/>
              <w:bottom w:val="single" w:sz="4" w:space="0" w:color="auto"/>
              <w:right w:val="single" w:sz="4" w:space="0" w:color="auto"/>
            </w:tcBorders>
            <w:shd w:val="clear" w:color="auto" w:fill="auto"/>
            <w:hideMark/>
          </w:tcPr>
          <w:p w14:paraId="6505BF66"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850" w:type="dxa"/>
            <w:tcBorders>
              <w:top w:val="nil"/>
              <w:left w:val="nil"/>
              <w:bottom w:val="single" w:sz="4" w:space="0" w:color="auto"/>
              <w:right w:val="single" w:sz="4" w:space="0" w:color="auto"/>
            </w:tcBorders>
            <w:shd w:val="clear" w:color="auto" w:fill="auto"/>
            <w:hideMark/>
          </w:tcPr>
          <w:p w14:paraId="288C9541"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3446B95A"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708" w:type="dxa"/>
            <w:tcBorders>
              <w:top w:val="nil"/>
              <w:left w:val="nil"/>
              <w:bottom w:val="single" w:sz="4" w:space="0" w:color="auto"/>
              <w:right w:val="single" w:sz="4" w:space="0" w:color="auto"/>
            </w:tcBorders>
            <w:shd w:val="clear" w:color="auto" w:fill="auto"/>
            <w:hideMark/>
          </w:tcPr>
          <w:p w14:paraId="18418A43"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2561FAA4" w14:textId="77777777" w:rsidR="00E02032" w:rsidRPr="004C209D" w:rsidRDefault="00E02032" w:rsidP="00233C12">
            <w:pPr>
              <w:rPr>
                <w:color w:val="000000" w:themeColor="text1"/>
                <w:sz w:val="16"/>
                <w:szCs w:val="16"/>
              </w:rPr>
            </w:pPr>
            <w:r w:rsidRPr="004C209D">
              <w:rPr>
                <w:color w:val="000000" w:themeColor="text1"/>
                <w:sz w:val="16"/>
                <w:szCs w:val="16"/>
              </w:rPr>
              <w:t> </w:t>
            </w:r>
          </w:p>
        </w:tc>
      </w:tr>
      <w:tr w:rsidR="00E02032" w:rsidRPr="004C209D" w14:paraId="3DB14108"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3A51A9D4"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69ED0B45"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45D64D6D" w14:textId="77777777" w:rsidR="00E02032" w:rsidRPr="004C209D" w:rsidRDefault="00E02032" w:rsidP="00233C12">
            <w:pPr>
              <w:rPr>
                <w:color w:val="000000" w:themeColor="text1"/>
                <w:sz w:val="16"/>
                <w:szCs w:val="16"/>
              </w:rPr>
            </w:pPr>
            <w:r w:rsidRPr="004C209D">
              <w:rPr>
                <w:color w:val="000000" w:themeColor="text1"/>
                <w:sz w:val="16"/>
                <w:szCs w:val="16"/>
              </w:rPr>
              <w:t>BOALI </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14:paraId="49653600" w14:textId="77777777" w:rsidR="00E02032" w:rsidRPr="004C209D" w:rsidRDefault="00E02032" w:rsidP="00233C12">
            <w:pPr>
              <w:rPr>
                <w:color w:val="000000" w:themeColor="text1"/>
                <w:sz w:val="16"/>
                <w:szCs w:val="16"/>
              </w:rPr>
            </w:pPr>
            <w:r w:rsidRPr="004C209D">
              <w:rPr>
                <w:color w:val="000000" w:themeColor="text1"/>
                <w:sz w:val="16"/>
                <w:szCs w:val="16"/>
              </w:rPr>
              <w:t>DS. 1.5 BOSSEMBELE </w:t>
            </w:r>
          </w:p>
        </w:tc>
        <w:tc>
          <w:tcPr>
            <w:tcW w:w="1417" w:type="dxa"/>
            <w:tcBorders>
              <w:top w:val="nil"/>
              <w:left w:val="nil"/>
              <w:bottom w:val="single" w:sz="4" w:space="0" w:color="auto"/>
              <w:right w:val="single" w:sz="4" w:space="0" w:color="auto"/>
            </w:tcBorders>
            <w:shd w:val="clear" w:color="auto" w:fill="auto"/>
            <w:hideMark/>
          </w:tcPr>
          <w:p w14:paraId="4AD56AF3"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850" w:type="dxa"/>
            <w:tcBorders>
              <w:top w:val="nil"/>
              <w:left w:val="nil"/>
              <w:bottom w:val="single" w:sz="4" w:space="0" w:color="auto"/>
              <w:right w:val="single" w:sz="4" w:space="0" w:color="auto"/>
            </w:tcBorders>
            <w:shd w:val="clear" w:color="auto" w:fill="auto"/>
            <w:hideMark/>
          </w:tcPr>
          <w:p w14:paraId="7874DB05"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36033A7D"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708" w:type="dxa"/>
            <w:tcBorders>
              <w:top w:val="nil"/>
              <w:left w:val="nil"/>
              <w:bottom w:val="single" w:sz="4" w:space="0" w:color="auto"/>
              <w:right w:val="single" w:sz="4" w:space="0" w:color="auto"/>
            </w:tcBorders>
            <w:shd w:val="clear" w:color="auto" w:fill="auto"/>
            <w:hideMark/>
          </w:tcPr>
          <w:p w14:paraId="34E7A800"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3624D2A1" w14:textId="77777777" w:rsidR="00E02032" w:rsidRPr="004C209D" w:rsidRDefault="00E02032" w:rsidP="00233C12">
            <w:pPr>
              <w:rPr>
                <w:color w:val="000000" w:themeColor="text1"/>
                <w:sz w:val="16"/>
                <w:szCs w:val="16"/>
              </w:rPr>
            </w:pPr>
            <w:r w:rsidRPr="004C209D">
              <w:rPr>
                <w:color w:val="000000" w:themeColor="text1"/>
                <w:sz w:val="16"/>
                <w:szCs w:val="16"/>
              </w:rPr>
              <w:t> </w:t>
            </w:r>
          </w:p>
        </w:tc>
      </w:tr>
      <w:tr w:rsidR="00E02032" w:rsidRPr="004C209D" w14:paraId="55FF8985"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5418A1E0"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500703A3"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38236852" w14:textId="77777777" w:rsidR="00E02032" w:rsidRPr="004C209D" w:rsidRDefault="00E02032" w:rsidP="00233C12">
            <w:pPr>
              <w:rPr>
                <w:color w:val="000000" w:themeColor="text1"/>
                <w:sz w:val="16"/>
                <w:szCs w:val="16"/>
              </w:rPr>
            </w:pPr>
            <w:r w:rsidRPr="004C209D">
              <w:rPr>
                <w:color w:val="000000" w:themeColor="text1"/>
                <w:sz w:val="16"/>
                <w:szCs w:val="16"/>
              </w:rPr>
              <w:t>BOSSEMBELE </w:t>
            </w:r>
          </w:p>
        </w:tc>
        <w:tc>
          <w:tcPr>
            <w:tcW w:w="1560" w:type="dxa"/>
            <w:vMerge/>
            <w:tcBorders>
              <w:top w:val="nil"/>
              <w:left w:val="single" w:sz="4" w:space="0" w:color="auto"/>
              <w:bottom w:val="single" w:sz="4" w:space="0" w:color="auto"/>
              <w:right w:val="single" w:sz="4" w:space="0" w:color="auto"/>
            </w:tcBorders>
            <w:vAlign w:val="center"/>
            <w:hideMark/>
          </w:tcPr>
          <w:p w14:paraId="4165DF0A" w14:textId="77777777" w:rsidR="00E02032" w:rsidRPr="004C209D" w:rsidRDefault="00E02032" w:rsidP="00233C12">
            <w:pPr>
              <w:rPr>
                <w:color w:val="000000" w:themeColor="text1"/>
                <w:sz w:val="16"/>
                <w:szCs w:val="16"/>
              </w:rPr>
            </w:pPr>
          </w:p>
        </w:tc>
        <w:tc>
          <w:tcPr>
            <w:tcW w:w="1417" w:type="dxa"/>
            <w:tcBorders>
              <w:top w:val="nil"/>
              <w:left w:val="nil"/>
              <w:bottom w:val="single" w:sz="4" w:space="0" w:color="auto"/>
              <w:right w:val="single" w:sz="4" w:space="0" w:color="auto"/>
            </w:tcBorders>
            <w:shd w:val="clear" w:color="auto" w:fill="auto"/>
            <w:hideMark/>
          </w:tcPr>
          <w:p w14:paraId="7C2A66E2" w14:textId="77777777" w:rsidR="00E02032" w:rsidRPr="004C209D" w:rsidRDefault="00E02032" w:rsidP="00233C12">
            <w:pPr>
              <w:rPr>
                <w:color w:val="000000" w:themeColor="text1"/>
                <w:sz w:val="16"/>
                <w:szCs w:val="16"/>
              </w:rPr>
            </w:pPr>
            <w:r w:rsidRPr="004C209D">
              <w:rPr>
                <w:color w:val="000000" w:themeColor="text1"/>
                <w:sz w:val="16"/>
                <w:szCs w:val="16"/>
              </w:rPr>
              <w:t>CONCERN</w:t>
            </w:r>
          </w:p>
        </w:tc>
        <w:tc>
          <w:tcPr>
            <w:tcW w:w="850" w:type="dxa"/>
            <w:tcBorders>
              <w:top w:val="nil"/>
              <w:left w:val="nil"/>
              <w:bottom w:val="single" w:sz="4" w:space="0" w:color="auto"/>
              <w:right w:val="single" w:sz="4" w:space="0" w:color="auto"/>
            </w:tcBorders>
            <w:shd w:val="clear" w:color="auto" w:fill="auto"/>
            <w:hideMark/>
          </w:tcPr>
          <w:p w14:paraId="01B9EDA8"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54DEFBC1"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708" w:type="dxa"/>
            <w:tcBorders>
              <w:top w:val="nil"/>
              <w:left w:val="nil"/>
              <w:bottom w:val="single" w:sz="4" w:space="0" w:color="auto"/>
              <w:right w:val="single" w:sz="4" w:space="0" w:color="auto"/>
            </w:tcBorders>
            <w:shd w:val="clear" w:color="auto" w:fill="auto"/>
            <w:hideMark/>
          </w:tcPr>
          <w:p w14:paraId="096CFE06"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3559EDAB" w14:textId="77777777" w:rsidR="00E02032" w:rsidRPr="004C209D" w:rsidRDefault="00E02032" w:rsidP="00233C12">
            <w:pPr>
              <w:rPr>
                <w:color w:val="000000" w:themeColor="text1"/>
                <w:sz w:val="16"/>
                <w:szCs w:val="16"/>
              </w:rPr>
            </w:pPr>
            <w:r w:rsidRPr="004C209D">
              <w:rPr>
                <w:color w:val="000000" w:themeColor="text1"/>
                <w:sz w:val="16"/>
                <w:szCs w:val="16"/>
              </w:rPr>
              <w:t> </w:t>
            </w:r>
          </w:p>
        </w:tc>
      </w:tr>
      <w:tr w:rsidR="00E02032" w:rsidRPr="004C209D" w14:paraId="0BC044F7"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474B8955"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37E06FCD"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382DD0DB" w14:textId="77777777" w:rsidR="00E02032" w:rsidRPr="004C209D" w:rsidRDefault="00E02032" w:rsidP="00233C12">
            <w:pPr>
              <w:rPr>
                <w:color w:val="000000" w:themeColor="text1"/>
                <w:sz w:val="16"/>
                <w:szCs w:val="16"/>
              </w:rPr>
            </w:pPr>
            <w:r w:rsidRPr="004C209D">
              <w:rPr>
                <w:color w:val="000000" w:themeColor="text1"/>
                <w:sz w:val="16"/>
                <w:szCs w:val="16"/>
              </w:rPr>
              <w:t>YALOKE </w:t>
            </w:r>
          </w:p>
        </w:tc>
        <w:tc>
          <w:tcPr>
            <w:tcW w:w="1560" w:type="dxa"/>
            <w:vMerge/>
            <w:tcBorders>
              <w:top w:val="nil"/>
              <w:left w:val="single" w:sz="4" w:space="0" w:color="auto"/>
              <w:bottom w:val="single" w:sz="4" w:space="0" w:color="auto"/>
              <w:right w:val="single" w:sz="4" w:space="0" w:color="auto"/>
            </w:tcBorders>
            <w:vAlign w:val="center"/>
            <w:hideMark/>
          </w:tcPr>
          <w:p w14:paraId="50B2430A" w14:textId="77777777" w:rsidR="00E02032" w:rsidRPr="004C209D" w:rsidRDefault="00E02032" w:rsidP="00233C12">
            <w:pPr>
              <w:rPr>
                <w:color w:val="000000" w:themeColor="text1"/>
                <w:sz w:val="16"/>
                <w:szCs w:val="16"/>
              </w:rPr>
            </w:pPr>
          </w:p>
        </w:tc>
        <w:tc>
          <w:tcPr>
            <w:tcW w:w="1417" w:type="dxa"/>
            <w:tcBorders>
              <w:top w:val="nil"/>
              <w:left w:val="nil"/>
              <w:bottom w:val="single" w:sz="4" w:space="0" w:color="auto"/>
              <w:right w:val="single" w:sz="4" w:space="0" w:color="auto"/>
            </w:tcBorders>
            <w:shd w:val="clear" w:color="auto" w:fill="auto"/>
            <w:hideMark/>
          </w:tcPr>
          <w:p w14:paraId="61C2BC89" w14:textId="77777777" w:rsidR="00E02032" w:rsidRPr="004C209D" w:rsidRDefault="00E02032" w:rsidP="00233C12">
            <w:pPr>
              <w:rPr>
                <w:color w:val="000000" w:themeColor="text1"/>
                <w:sz w:val="16"/>
                <w:szCs w:val="16"/>
              </w:rPr>
            </w:pPr>
            <w:r w:rsidRPr="004C209D">
              <w:rPr>
                <w:color w:val="000000" w:themeColor="text1"/>
                <w:sz w:val="16"/>
                <w:szCs w:val="16"/>
              </w:rPr>
              <w:t>CONCERN</w:t>
            </w:r>
          </w:p>
        </w:tc>
        <w:tc>
          <w:tcPr>
            <w:tcW w:w="850" w:type="dxa"/>
            <w:tcBorders>
              <w:top w:val="nil"/>
              <w:left w:val="nil"/>
              <w:bottom w:val="single" w:sz="4" w:space="0" w:color="auto"/>
              <w:right w:val="single" w:sz="4" w:space="0" w:color="auto"/>
            </w:tcBorders>
            <w:shd w:val="clear" w:color="auto" w:fill="auto"/>
            <w:hideMark/>
          </w:tcPr>
          <w:p w14:paraId="06C7AED0"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358A0947"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708" w:type="dxa"/>
            <w:tcBorders>
              <w:top w:val="nil"/>
              <w:left w:val="nil"/>
              <w:bottom w:val="single" w:sz="4" w:space="0" w:color="auto"/>
              <w:right w:val="single" w:sz="4" w:space="0" w:color="auto"/>
            </w:tcBorders>
            <w:shd w:val="clear" w:color="auto" w:fill="auto"/>
            <w:hideMark/>
          </w:tcPr>
          <w:p w14:paraId="0B92A69D"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140E82E5" w14:textId="77777777" w:rsidR="00E02032" w:rsidRPr="004C209D" w:rsidRDefault="00E02032" w:rsidP="00233C12">
            <w:pPr>
              <w:rPr>
                <w:color w:val="000000" w:themeColor="text1"/>
                <w:sz w:val="16"/>
                <w:szCs w:val="16"/>
              </w:rPr>
            </w:pPr>
            <w:r w:rsidRPr="004C209D">
              <w:rPr>
                <w:color w:val="000000" w:themeColor="text1"/>
                <w:sz w:val="16"/>
                <w:szCs w:val="16"/>
              </w:rPr>
              <w:t> </w:t>
            </w:r>
          </w:p>
        </w:tc>
      </w:tr>
      <w:tr w:rsidR="00E02032" w:rsidRPr="004C209D" w14:paraId="72DDADA3" w14:textId="77777777" w:rsidTr="00233C12">
        <w:trPr>
          <w:trHeight w:val="20"/>
        </w:trPr>
        <w:tc>
          <w:tcPr>
            <w:tcW w:w="421" w:type="dxa"/>
            <w:vMerge w:val="restart"/>
            <w:tcBorders>
              <w:top w:val="nil"/>
              <w:left w:val="single" w:sz="4" w:space="0" w:color="auto"/>
              <w:bottom w:val="single" w:sz="4" w:space="0" w:color="auto"/>
              <w:right w:val="single" w:sz="4" w:space="0" w:color="auto"/>
            </w:tcBorders>
            <w:shd w:val="clear" w:color="000000" w:fill="DDEBF7"/>
            <w:noWrap/>
            <w:vAlign w:val="center"/>
            <w:hideMark/>
          </w:tcPr>
          <w:p w14:paraId="6A226CED" w14:textId="77777777" w:rsidR="00E02032" w:rsidRPr="004C209D" w:rsidRDefault="00E02032" w:rsidP="00233C12">
            <w:pPr>
              <w:jc w:val="center"/>
              <w:rPr>
                <w:b/>
                <w:bCs/>
                <w:color w:val="000000"/>
                <w:sz w:val="16"/>
                <w:szCs w:val="16"/>
              </w:rPr>
            </w:pPr>
            <w:r w:rsidRPr="004C209D">
              <w:rPr>
                <w:b/>
                <w:bCs/>
                <w:color w:val="000000"/>
                <w:sz w:val="16"/>
                <w:szCs w:val="16"/>
              </w:rPr>
              <w:t>2</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45B9BEF4" w14:textId="77777777" w:rsidR="00E02032" w:rsidRPr="004C209D" w:rsidRDefault="00E02032" w:rsidP="00233C12">
            <w:pPr>
              <w:rPr>
                <w:color w:val="000000" w:themeColor="text1"/>
                <w:sz w:val="16"/>
                <w:szCs w:val="16"/>
              </w:rPr>
            </w:pPr>
            <w:r w:rsidRPr="004C209D">
              <w:rPr>
                <w:color w:val="000000" w:themeColor="text1"/>
                <w:sz w:val="16"/>
                <w:szCs w:val="16"/>
              </w:rPr>
              <w:t>MAMBERE-KADEI </w:t>
            </w:r>
          </w:p>
        </w:tc>
        <w:tc>
          <w:tcPr>
            <w:tcW w:w="1418" w:type="dxa"/>
            <w:tcBorders>
              <w:top w:val="nil"/>
              <w:left w:val="nil"/>
              <w:bottom w:val="single" w:sz="4" w:space="0" w:color="auto"/>
              <w:right w:val="single" w:sz="4" w:space="0" w:color="auto"/>
            </w:tcBorders>
            <w:shd w:val="clear" w:color="auto" w:fill="auto"/>
            <w:hideMark/>
          </w:tcPr>
          <w:p w14:paraId="01DF5DFA" w14:textId="77777777" w:rsidR="00E02032" w:rsidRPr="004C209D" w:rsidRDefault="00E02032" w:rsidP="00233C12">
            <w:pPr>
              <w:rPr>
                <w:color w:val="000000" w:themeColor="text1"/>
                <w:sz w:val="16"/>
                <w:szCs w:val="16"/>
              </w:rPr>
            </w:pPr>
            <w:r w:rsidRPr="004C209D">
              <w:rPr>
                <w:color w:val="000000" w:themeColor="text1"/>
                <w:sz w:val="16"/>
                <w:szCs w:val="16"/>
              </w:rPr>
              <w:t>BERBERATI </w:t>
            </w:r>
          </w:p>
        </w:tc>
        <w:tc>
          <w:tcPr>
            <w:tcW w:w="1560" w:type="dxa"/>
            <w:tcBorders>
              <w:top w:val="nil"/>
              <w:left w:val="nil"/>
              <w:bottom w:val="single" w:sz="4" w:space="0" w:color="auto"/>
              <w:right w:val="single" w:sz="4" w:space="0" w:color="auto"/>
            </w:tcBorders>
            <w:shd w:val="clear" w:color="auto" w:fill="auto"/>
            <w:hideMark/>
          </w:tcPr>
          <w:p w14:paraId="7124F04C" w14:textId="77777777" w:rsidR="00E02032" w:rsidRPr="004C209D" w:rsidRDefault="00E02032" w:rsidP="00233C12">
            <w:pPr>
              <w:rPr>
                <w:color w:val="000000" w:themeColor="text1"/>
                <w:sz w:val="16"/>
                <w:szCs w:val="16"/>
              </w:rPr>
            </w:pPr>
            <w:r w:rsidRPr="004C209D">
              <w:rPr>
                <w:color w:val="000000" w:themeColor="text1"/>
                <w:sz w:val="16"/>
                <w:szCs w:val="16"/>
              </w:rPr>
              <w:t>DS. 2.1 Berberati</w:t>
            </w:r>
          </w:p>
        </w:tc>
        <w:tc>
          <w:tcPr>
            <w:tcW w:w="1417" w:type="dxa"/>
            <w:tcBorders>
              <w:top w:val="nil"/>
              <w:left w:val="nil"/>
              <w:bottom w:val="single" w:sz="4" w:space="0" w:color="auto"/>
              <w:right w:val="single" w:sz="4" w:space="0" w:color="auto"/>
            </w:tcBorders>
            <w:shd w:val="clear" w:color="auto" w:fill="auto"/>
            <w:hideMark/>
          </w:tcPr>
          <w:p w14:paraId="31238175" w14:textId="77777777" w:rsidR="00E02032" w:rsidRPr="004C209D" w:rsidRDefault="00E02032" w:rsidP="00233C12">
            <w:pPr>
              <w:rPr>
                <w:color w:val="000000" w:themeColor="text1"/>
                <w:sz w:val="16"/>
                <w:szCs w:val="16"/>
              </w:rPr>
            </w:pPr>
            <w:r w:rsidRPr="004C209D">
              <w:rPr>
                <w:color w:val="000000" w:themeColor="text1"/>
                <w:sz w:val="16"/>
                <w:szCs w:val="16"/>
              </w:rPr>
              <w:t xml:space="preserve">TEARFUND, MERCY CORPS, </w:t>
            </w:r>
          </w:p>
        </w:tc>
        <w:tc>
          <w:tcPr>
            <w:tcW w:w="850" w:type="dxa"/>
            <w:tcBorders>
              <w:top w:val="nil"/>
              <w:left w:val="nil"/>
              <w:bottom w:val="single" w:sz="4" w:space="0" w:color="auto"/>
              <w:right w:val="single" w:sz="4" w:space="0" w:color="auto"/>
            </w:tcBorders>
            <w:shd w:val="clear" w:color="auto" w:fill="auto"/>
            <w:hideMark/>
          </w:tcPr>
          <w:p w14:paraId="3A2A3AFF"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01262C25" w14:textId="77777777" w:rsidR="00E02032" w:rsidRPr="004C209D" w:rsidRDefault="00E02032" w:rsidP="00233C12">
            <w:pPr>
              <w:rPr>
                <w:color w:val="000000" w:themeColor="text1"/>
                <w:sz w:val="16"/>
                <w:szCs w:val="16"/>
              </w:rPr>
            </w:pPr>
            <w:r w:rsidRPr="004C209D">
              <w:rPr>
                <w:color w:val="000000" w:themeColor="text1"/>
                <w:sz w:val="16"/>
                <w:szCs w:val="16"/>
              </w:rPr>
              <w:t>MERCY CORPS</w:t>
            </w:r>
          </w:p>
        </w:tc>
        <w:tc>
          <w:tcPr>
            <w:tcW w:w="708" w:type="dxa"/>
            <w:tcBorders>
              <w:top w:val="nil"/>
              <w:left w:val="nil"/>
              <w:bottom w:val="single" w:sz="4" w:space="0" w:color="auto"/>
              <w:right w:val="single" w:sz="4" w:space="0" w:color="auto"/>
            </w:tcBorders>
            <w:shd w:val="clear" w:color="auto" w:fill="auto"/>
            <w:hideMark/>
          </w:tcPr>
          <w:p w14:paraId="3078434F"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10BB0C90" w14:textId="77777777" w:rsidR="00E02032" w:rsidRPr="004C209D" w:rsidRDefault="00E02032" w:rsidP="00233C12">
            <w:pPr>
              <w:rPr>
                <w:color w:val="000000" w:themeColor="text1"/>
                <w:sz w:val="16"/>
                <w:szCs w:val="16"/>
              </w:rPr>
            </w:pPr>
            <w:r w:rsidRPr="004C209D">
              <w:rPr>
                <w:color w:val="000000" w:themeColor="text1"/>
                <w:sz w:val="16"/>
                <w:szCs w:val="16"/>
              </w:rPr>
              <w:t>MERCY CORPS</w:t>
            </w:r>
          </w:p>
        </w:tc>
      </w:tr>
      <w:tr w:rsidR="00E02032" w:rsidRPr="004C209D" w14:paraId="3421C413"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3D5B4D0C"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72A7AD22"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25A9E126" w14:textId="77777777" w:rsidR="00E02032" w:rsidRPr="004C209D" w:rsidRDefault="00E02032" w:rsidP="00233C12">
            <w:pPr>
              <w:rPr>
                <w:color w:val="000000" w:themeColor="text1"/>
                <w:sz w:val="16"/>
                <w:szCs w:val="16"/>
              </w:rPr>
            </w:pPr>
            <w:r w:rsidRPr="004C209D">
              <w:rPr>
                <w:color w:val="000000" w:themeColor="text1"/>
                <w:sz w:val="16"/>
                <w:szCs w:val="16"/>
              </w:rPr>
              <w:t>CARNOT</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14:paraId="012F2296" w14:textId="77777777" w:rsidR="00E02032" w:rsidRPr="004C209D" w:rsidRDefault="00E02032" w:rsidP="00233C12">
            <w:pPr>
              <w:rPr>
                <w:color w:val="000000" w:themeColor="text1"/>
                <w:sz w:val="16"/>
                <w:szCs w:val="16"/>
              </w:rPr>
            </w:pPr>
            <w:r w:rsidRPr="004C209D">
              <w:rPr>
                <w:color w:val="000000" w:themeColor="text1"/>
                <w:sz w:val="16"/>
                <w:szCs w:val="16"/>
              </w:rPr>
              <w:t>DS. 2.2 Carnot-Gadzi</w:t>
            </w:r>
          </w:p>
        </w:tc>
        <w:tc>
          <w:tcPr>
            <w:tcW w:w="1417" w:type="dxa"/>
            <w:tcBorders>
              <w:top w:val="nil"/>
              <w:left w:val="nil"/>
              <w:bottom w:val="single" w:sz="4" w:space="0" w:color="auto"/>
              <w:right w:val="single" w:sz="4" w:space="0" w:color="auto"/>
            </w:tcBorders>
            <w:shd w:val="clear" w:color="auto" w:fill="auto"/>
            <w:hideMark/>
          </w:tcPr>
          <w:p w14:paraId="084E7551"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850" w:type="dxa"/>
            <w:tcBorders>
              <w:top w:val="nil"/>
              <w:left w:val="nil"/>
              <w:bottom w:val="single" w:sz="4" w:space="0" w:color="auto"/>
              <w:right w:val="single" w:sz="4" w:space="0" w:color="auto"/>
            </w:tcBorders>
            <w:shd w:val="clear" w:color="auto" w:fill="auto"/>
            <w:hideMark/>
          </w:tcPr>
          <w:p w14:paraId="44F746F8"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5D6A7351"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708" w:type="dxa"/>
            <w:tcBorders>
              <w:top w:val="nil"/>
              <w:left w:val="nil"/>
              <w:bottom w:val="single" w:sz="4" w:space="0" w:color="auto"/>
              <w:right w:val="single" w:sz="4" w:space="0" w:color="auto"/>
            </w:tcBorders>
            <w:shd w:val="clear" w:color="auto" w:fill="auto"/>
            <w:hideMark/>
          </w:tcPr>
          <w:p w14:paraId="57D6DD11"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68EBAB91" w14:textId="77777777" w:rsidR="00E02032" w:rsidRPr="004C209D" w:rsidRDefault="00E02032" w:rsidP="00233C12">
            <w:pPr>
              <w:rPr>
                <w:color w:val="000000" w:themeColor="text1"/>
                <w:sz w:val="16"/>
                <w:szCs w:val="16"/>
              </w:rPr>
            </w:pPr>
            <w:r w:rsidRPr="004C209D">
              <w:rPr>
                <w:color w:val="000000" w:themeColor="text1"/>
                <w:sz w:val="16"/>
                <w:szCs w:val="16"/>
              </w:rPr>
              <w:t> </w:t>
            </w:r>
          </w:p>
        </w:tc>
      </w:tr>
      <w:tr w:rsidR="00E02032" w:rsidRPr="004C209D" w14:paraId="05900E57"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0E6BE40C"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5C185D5A"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2DC219FE" w14:textId="77777777" w:rsidR="00E02032" w:rsidRPr="004C209D" w:rsidRDefault="00E02032" w:rsidP="00233C12">
            <w:pPr>
              <w:rPr>
                <w:color w:val="000000" w:themeColor="text1"/>
                <w:sz w:val="16"/>
                <w:szCs w:val="16"/>
              </w:rPr>
            </w:pPr>
            <w:r w:rsidRPr="004C209D">
              <w:rPr>
                <w:color w:val="000000" w:themeColor="text1"/>
                <w:sz w:val="16"/>
                <w:szCs w:val="16"/>
              </w:rPr>
              <w:t xml:space="preserve">GADZI </w:t>
            </w:r>
          </w:p>
        </w:tc>
        <w:tc>
          <w:tcPr>
            <w:tcW w:w="1560" w:type="dxa"/>
            <w:vMerge/>
            <w:tcBorders>
              <w:top w:val="nil"/>
              <w:left w:val="single" w:sz="4" w:space="0" w:color="auto"/>
              <w:bottom w:val="single" w:sz="4" w:space="0" w:color="auto"/>
              <w:right w:val="single" w:sz="4" w:space="0" w:color="auto"/>
            </w:tcBorders>
            <w:vAlign w:val="center"/>
            <w:hideMark/>
          </w:tcPr>
          <w:p w14:paraId="0A6BE604" w14:textId="77777777" w:rsidR="00E02032" w:rsidRPr="004C209D" w:rsidRDefault="00E02032" w:rsidP="00233C12">
            <w:pPr>
              <w:rPr>
                <w:color w:val="000000" w:themeColor="text1"/>
                <w:sz w:val="16"/>
                <w:szCs w:val="16"/>
              </w:rPr>
            </w:pPr>
          </w:p>
        </w:tc>
        <w:tc>
          <w:tcPr>
            <w:tcW w:w="1417" w:type="dxa"/>
            <w:tcBorders>
              <w:top w:val="nil"/>
              <w:left w:val="nil"/>
              <w:bottom w:val="single" w:sz="4" w:space="0" w:color="auto"/>
              <w:right w:val="single" w:sz="4" w:space="0" w:color="auto"/>
            </w:tcBorders>
            <w:shd w:val="clear" w:color="auto" w:fill="auto"/>
            <w:hideMark/>
          </w:tcPr>
          <w:p w14:paraId="6863D887"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850" w:type="dxa"/>
            <w:tcBorders>
              <w:top w:val="nil"/>
              <w:left w:val="nil"/>
              <w:bottom w:val="single" w:sz="4" w:space="0" w:color="auto"/>
              <w:right w:val="single" w:sz="4" w:space="0" w:color="auto"/>
            </w:tcBorders>
            <w:shd w:val="clear" w:color="auto" w:fill="auto"/>
            <w:hideMark/>
          </w:tcPr>
          <w:p w14:paraId="5976B245"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39A1EB3E"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708" w:type="dxa"/>
            <w:tcBorders>
              <w:top w:val="nil"/>
              <w:left w:val="nil"/>
              <w:bottom w:val="single" w:sz="4" w:space="0" w:color="auto"/>
              <w:right w:val="single" w:sz="4" w:space="0" w:color="auto"/>
            </w:tcBorders>
            <w:shd w:val="clear" w:color="auto" w:fill="auto"/>
            <w:hideMark/>
          </w:tcPr>
          <w:p w14:paraId="13CA6BC3"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5794E132" w14:textId="77777777" w:rsidR="00E02032" w:rsidRPr="004C209D" w:rsidRDefault="00E02032" w:rsidP="00233C12">
            <w:pPr>
              <w:rPr>
                <w:color w:val="000000" w:themeColor="text1"/>
                <w:sz w:val="16"/>
                <w:szCs w:val="16"/>
              </w:rPr>
            </w:pPr>
            <w:r w:rsidRPr="004C209D">
              <w:rPr>
                <w:color w:val="000000" w:themeColor="text1"/>
                <w:sz w:val="16"/>
                <w:szCs w:val="16"/>
              </w:rPr>
              <w:t> </w:t>
            </w:r>
          </w:p>
        </w:tc>
      </w:tr>
      <w:tr w:rsidR="00E02032" w:rsidRPr="004C209D" w14:paraId="6DD92CE6"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0282C48D"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6DBAF763"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38B18A94" w14:textId="77777777" w:rsidR="00E02032" w:rsidRPr="004C209D" w:rsidRDefault="00E02032" w:rsidP="00233C12">
            <w:pPr>
              <w:rPr>
                <w:color w:val="000000" w:themeColor="text1"/>
                <w:sz w:val="16"/>
                <w:szCs w:val="16"/>
              </w:rPr>
            </w:pPr>
            <w:r w:rsidRPr="004C209D">
              <w:rPr>
                <w:color w:val="000000" w:themeColor="text1"/>
                <w:sz w:val="16"/>
                <w:szCs w:val="16"/>
              </w:rPr>
              <w:t xml:space="preserve">GAMBOULA </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14:paraId="0E1E12AE" w14:textId="77777777" w:rsidR="00E02032" w:rsidRPr="004C209D" w:rsidRDefault="00E02032" w:rsidP="00233C12">
            <w:pPr>
              <w:rPr>
                <w:color w:val="000000" w:themeColor="text1"/>
                <w:sz w:val="16"/>
                <w:szCs w:val="16"/>
              </w:rPr>
            </w:pPr>
            <w:r w:rsidRPr="004C209D">
              <w:rPr>
                <w:color w:val="000000" w:themeColor="text1"/>
                <w:sz w:val="16"/>
                <w:szCs w:val="16"/>
              </w:rPr>
              <w:t>DS. 2.3 Gamboula</w:t>
            </w:r>
          </w:p>
        </w:tc>
        <w:tc>
          <w:tcPr>
            <w:tcW w:w="1417" w:type="dxa"/>
            <w:tcBorders>
              <w:top w:val="nil"/>
              <w:left w:val="nil"/>
              <w:bottom w:val="single" w:sz="4" w:space="0" w:color="auto"/>
              <w:right w:val="single" w:sz="4" w:space="0" w:color="auto"/>
            </w:tcBorders>
            <w:shd w:val="clear" w:color="auto" w:fill="auto"/>
            <w:hideMark/>
          </w:tcPr>
          <w:p w14:paraId="32BF588E" w14:textId="77777777" w:rsidR="00E02032" w:rsidRPr="004C209D" w:rsidRDefault="00E02032" w:rsidP="00233C12">
            <w:pPr>
              <w:rPr>
                <w:color w:val="000000" w:themeColor="text1"/>
                <w:sz w:val="16"/>
                <w:szCs w:val="16"/>
              </w:rPr>
            </w:pPr>
            <w:r w:rsidRPr="004C209D">
              <w:rPr>
                <w:color w:val="000000" w:themeColor="text1"/>
                <w:sz w:val="16"/>
                <w:szCs w:val="16"/>
              </w:rPr>
              <w:t>MERCY CORPS</w:t>
            </w:r>
          </w:p>
        </w:tc>
        <w:tc>
          <w:tcPr>
            <w:tcW w:w="850" w:type="dxa"/>
            <w:tcBorders>
              <w:top w:val="nil"/>
              <w:left w:val="nil"/>
              <w:bottom w:val="single" w:sz="4" w:space="0" w:color="auto"/>
              <w:right w:val="single" w:sz="4" w:space="0" w:color="auto"/>
            </w:tcBorders>
            <w:shd w:val="clear" w:color="auto" w:fill="auto"/>
            <w:hideMark/>
          </w:tcPr>
          <w:p w14:paraId="71B51407" w14:textId="77777777" w:rsidR="00E02032" w:rsidRPr="004C209D" w:rsidRDefault="00E02032" w:rsidP="00233C12">
            <w:pPr>
              <w:rPr>
                <w:color w:val="000000" w:themeColor="text1"/>
                <w:sz w:val="16"/>
                <w:szCs w:val="16"/>
              </w:rPr>
            </w:pPr>
            <w:r w:rsidRPr="004C209D">
              <w:rPr>
                <w:color w:val="000000" w:themeColor="text1"/>
                <w:sz w:val="16"/>
                <w:szCs w:val="16"/>
              </w:rPr>
              <w:t>MSF-F</w:t>
            </w:r>
          </w:p>
        </w:tc>
        <w:tc>
          <w:tcPr>
            <w:tcW w:w="1276" w:type="dxa"/>
            <w:tcBorders>
              <w:top w:val="nil"/>
              <w:left w:val="nil"/>
              <w:bottom w:val="single" w:sz="4" w:space="0" w:color="auto"/>
              <w:right w:val="single" w:sz="4" w:space="0" w:color="auto"/>
            </w:tcBorders>
            <w:shd w:val="clear" w:color="auto" w:fill="auto"/>
            <w:hideMark/>
          </w:tcPr>
          <w:p w14:paraId="4ACE4595" w14:textId="77777777" w:rsidR="00E02032" w:rsidRPr="004C209D" w:rsidRDefault="00E02032" w:rsidP="00233C12">
            <w:pPr>
              <w:rPr>
                <w:color w:val="000000" w:themeColor="text1"/>
                <w:sz w:val="16"/>
                <w:szCs w:val="16"/>
              </w:rPr>
            </w:pPr>
            <w:r w:rsidRPr="004C209D">
              <w:rPr>
                <w:color w:val="000000" w:themeColor="text1"/>
                <w:sz w:val="16"/>
                <w:szCs w:val="16"/>
              </w:rPr>
              <w:t>MERCY CORPS, MSF-F</w:t>
            </w:r>
          </w:p>
        </w:tc>
        <w:tc>
          <w:tcPr>
            <w:tcW w:w="708" w:type="dxa"/>
            <w:tcBorders>
              <w:top w:val="nil"/>
              <w:left w:val="nil"/>
              <w:bottom w:val="single" w:sz="4" w:space="0" w:color="auto"/>
              <w:right w:val="single" w:sz="4" w:space="0" w:color="auto"/>
            </w:tcBorders>
            <w:shd w:val="clear" w:color="auto" w:fill="auto"/>
            <w:hideMark/>
          </w:tcPr>
          <w:p w14:paraId="6650347A"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2DFA13DF" w14:textId="77777777" w:rsidR="00E02032" w:rsidRPr="004C209D" w:rsidRDefault="00E02032" w:rsidP="00233C12">
            <w:pPr>
              <w:rPr>
                <w:color w:val="000000" w:themeColor="text1"/>
                <w:sz w:val="16"/>
                <w:szCs w:val="16"/>
              </w:rPr>
            </w:pPr>
            <w:r w:rsidRPr="004C209D">
              <w:rPr>
                <w:color w:val="000000" w:themeColor="text1"/>
                <w:sz w:val="16"/>
                <w:szCs w:val="16"/>
              </w:rPr>
              <w:t>MERCY CORPS</w:t>
            </w:r>
          </w:p>
        </w:tc>
      </w:tr>
      <w:tr w:rsidR="00E02032" w:rsidRPr="004C209D" w14:paraId="09BE93A6"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3F9C5A0F"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6C37B781"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3087C9B3" w14:textId="77777777" w:rsidR="00E02032" w:rsidRPr="004C209D" w:rsidRDefault="00E02032" w:rsidP="00233C12">
            <w:pPr>
              <w:rPr>
                <w:color w:val="000000" w:themeColor="text1"/>
                <w:sz w:val="16"/>
                <w:szCs w:val="16"/>
              </w:rPr>
            </w:pPr>
            <w:r w:rsidRPr="004C209D">
              <w:rPr>
                <w:color w:val="000000" w:themeColor="text1"/>
                <w:sz w:val="16"/>
                <w:szCs w:val="16"/>
              </w:rPr>
              <w:t xml:space="preserve">AMADA GAZA </w:t>
            </w:r>
          </w:p>
        </w:tc>
        <w:tc>
          <w:tcPr>
            <w:tcW w:w="1560" w:type="dxa"/>
            <w:vMerge/>
            <w:tcBorders>
              <w:top w:val="nil"/>
              <w:left w:val="single" w:sz="4" w:space="0" w:color="auto"/>
              <w:bottom w:val="single" w:sz="4" w:space="0" w:color="auto"/>
              <w:right w:val="single" w:sz="4" w:space="0" w:color="auto"/>
            </w:tcBorders>
            <w:vAlign w:val="center"/>
            <w:hideMark/>
          </w:tcPr>
          <w:p w14:paraId="645198FD" w14:textId="77777777" w:rsidR="00E02032" w:rsidRPr="004C209D" w:rsidRDefault="00E02032" w:rsidP="00233C12">
            <w:pPr>
              <w:rPr>
                <w:color w:val="000000" w:themeColor="text1"/>
                <w:sz w:val="16"/>
                <w:szCs w:val="16"/>
              </w:rPr>
            </w:pPr>
          </w:p>
        </w:tc>
        <w:tc>
          <w:tcPr>
            <w:tcW w:w="1417" w:type="dxa"/>
            <w:tcBorders>
              <w:top w:val="nil"/>
              <w:left w:val="nil"/>
              <w:bottom w:val="single" w:sz="4" w:space="0" w:color="auto"/>
              <w:right w:val="single" w:sz="4" w:space="0" w:color="auto"/>
            </w:tcBorders>
            <w:shd w:val="clear" w:color="auto" w:fill="auto"/>
            <w:hideMark/>
          </w:tcPr>
          <w:p w14:paraId="29670E42"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850" w:type="dxa"/>
            <w:tcBorders>
              <w:top w:val="nil"/>
              <w:left w:val="nil"/>
              <w:bottom w:val="single" w:sz="4" w:space="0" w:color="auto"/>
              <w:right w:val="single" w:sz="4" w:space="0" w:color="auto"/>
            </w:tcBorders>
            <w:shd w:val="clear" w:color="auto" w:fill="auto"/>
            <w:hideMark/>
          </w:tcPr>
          <w:p w14:paraId="719AC67A"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59BD219E"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708" w:type="dxa"/>
            <w:tcBorders>
              <w:top w:val="nil"/>
              <w:left w:val="nil"/>
              <w:bottom w:val="single" w:sz="4" w:space="0" w:color="auto"/>
              <w:right w:val="single" w:sz="4" w:space="0" w:color="auto"/>
            </w:tcBorders>
            <w:shd w:val="clear" w:color="auto" w:fill="auto"/>
            <w:hideMark/>
          </w:tcPr>
          <w:p w14:paraId="47BF886F"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19E1E298" w14:textId="77777777" w:rsidR="00E02032" w:rsidRPr="004C209D" w:rsidRDefault="00E02032" w:rsidP="00233C12">
            <w:pPr>
              <w:rPr>
                <w:color w:val="000000" w:themeColor="text1"/>
                <w:sz w:val="16"/>
                <w:szCs w:val="16"/>
              </w:rPr>
            </w:pPr>
            <w:r w:rsidRPr="004C209D">
              <w:rPr>
                <w:color w:val="000000" w:themeColor="text1"/>
                <w:sz w:val="16"/>
                <w:szCs w:val="16"/>
              </w:rPr>
              <w:t> </w:t>
            </w:r>
          </w:p>
        </w:tc>
      </w:tr>
      <w:tr w:rsidR="00E02032" w:rsidRPr="004C209D" w14:paraId="70E40CAE"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6F330425"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1332EC2A"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239AD051" w14:textId="77777777" w:rsidR="00E02032" w:rsidRPr="004C209D" w:rsidRDefault="00E02032" w:rsidP="00233C12">
            <w:pPr>
              <w:rPr>
                <w:color w:val="000000" w:themeColor="text1"/>
                <w:sz w:val="16"/>
                <w:szCs w:val="16"/>
              </w:rPr>
            </w:pPr>
            <w:r w:rsidRPr="004C209D">
              <w:rPr>
                <w:color w:val="000000" w:themeColor="text1"/>
                <w:sz w:val="16"/>
                <w:szCs w:val="16"/>
              </w:rPr>
              <w:t xml:space="preserve">DEDE MAKOUBA </w:t>
            </w:r>
          </w:p>
        </w:tc>
        <w:tc>
          <w:tcPr>
            <w:tcW w:w="1560" w:type="dxa"/>
            <w:vMerge/>
            <w:tcBorders>
              <w:top w:val="nil"/>
              <w:left w:val="single" w:sz="4" w:space="0" w:color="auto"/>
              <w:bottom w:val="single" w:sz="4" w:space="0" w:color="auto"/>
              <w:right w:val="single" w:sz="4" w:space="0" w:color="auto"/>
            </w:tcBorders>
            <w:vAlign w:val="center"/>
            <w:hideMark/>
          </w:tcPr>
          <w:p w14:paraId="05366ABA" w14:textId="77777777" w:rsidR="00E02032" w:rsidRPr="004C209D" w:rsidRDefault="00E02032" w:rsidP="00233C12">
            <w:pPr>
              <w:rPr>
                <w:color w:val="000000" w:themeColor="text1"/>
                <w:sz w:val="16"/>
                <w:szCs w:val="16"/>
              </w:rPr>
            </w:pPr>
          </w:p>
        </w:tc>
        <w:tc>
          <w:tcPr>
            <w:tcW w:w="1417" w:type="dxa"/>
            <w:tcBorders>
              <w:top w:val="nil"/>
              <w:left w:val="nil"/>
              <w:bottom w:val="single" w:sz="4" w:space="0" w:color="auto"/>
              <w:right w:val="single" w:sz="4" w:space="0" w:color="auto"/>
            </w:tcBorders>
            <w:shd w:val="clear" w:color="auto" w:fill="auto"/>
            <w:hideMark/>
          </w:tcPr>
          <w:p w14:paraId="13A916FF"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850" w:type="dxa"/>
            <w:tcBorders>
              <w:top w:val="nil"/>
              <w:left w:val="nil"/>
              <w:bottom w:val="single" w:sz="4" w:space="0" w:color="auto"/>
              <w:right w:val="single" w:sz="4" w:space="0" w:color="auto"/>
            </w:tcBorders>
            <w:shd w:val="clear" w:color="auto" w:fill="auto"/>
            <w:hideMark/>
          </w:tcPr>
          <w:p w14:paraId="58E3FBAB"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3D3AB074"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708" w:type="dxa"/>
            <w:tcBorders>
              <w:top w:val="nil"/>
              <w:left w:val="nil"/>
              <w:bottom w:val="single" w:sz="4" w:space="0" w:color="auto"/>
              <w:right w:val="single" w:sz="4" w:space="0" w:color="auto"/>
            </w:tcBorders>
            <w:shd w:val="clear" w:color="auto" w:fill="auto"/>
            <w:hideMark/>
          </w:tcPr>
          <w:p w14:paraId="0F902A1C"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28AC3117" w14:textId="77777777" w:rsidR="00E02032" w:rsidRPr="004C209D" w:rsidRDefault="00E02032" w:rsidP="00233C12">
            <w:pPr>
              <w:rPr>
                <w:color w:val="000000" w:themeColor="text1"/>
                <w:sz w:val="16"/>
                <w:szCs w:val="16"/>
              </w:rPr>
            </w:pPr>
            <w:r w:rsidRPr="004C209D">
              <w:rPr>
                <w:color w:val="000000" w:themeColor="text1"/>
                <w:sz w:val="16"/>
                <w:szCs w:val="16"/>
              </w:rPr>
              <w:t> </w:t>
            </w:r>
          </w:p>
        </w:tc>
      </w:tr>
      <w:tr w:rsidR="00E02032" w:rsidRPr="004C209D" w14:paraId="32BF58C8"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77C75A6E"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35E52B77"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33C157A9" w14:textId="77777777" w:rsidR="00E02032" w:rsidRPr="004C209D" w:rsidRDefault="00E02032" w:rsidP="00233C12">
            <w:pPr>
              <w:rPr>
                <w:color w:val="000000" w:themeColor="text1"/>
                <w:sz w:val="16"/>
                <w:szCs w:val="16"/>
              </w:rPr>
            </w:pPr>
            <w:r w:rsidRPr="004C209D">
              <w:rPr>
                <w:color w:val="000000" w:themeColor="text1"/>
                <w:sz w:val="16"/>
                <w:szCs w:val="16"/>
              </w:rPr>
              <w:t xml:space="preserve">SOSSO NAKAMBO </w:t>
            </w:r>
          </w:p>
        </w:tc>
        <w:tc>
          <w:tcPr>
            <w:tcW w:w="1560" w:type="dxa"/>
            <w:vMerge/>
            <w:tcBorders>
              <w:top w:val="nil"/>
              <w:left w:val="single" w:sz="4" w:space="0" w:color="auto"/>
              <w:bottom w:val="single" w:sz="4" w:space="0" w:color="auto"/>
              <w:right w:val="single" w:sz="4" w:space="0" w:color="auto"/>
            </w:tcBorders>
            <w:shd w:val="clear" w:color="auto" w:fill="auto"/>
            <w:vAlign w:val="center"/>
            <w:hideMark/>
          </w:tcPr>
          <w:p w14:paraId="1B4CC9A9" w14:textId="77777777" w:rsidR="00E02032" w:rsidRPr="004C209D" w:rsidRDefault="00E02032" w:rsidP="00233C12">
            <w:pPr>
              <w:rPr>
                <w:color w:val="000000" w:themeColor="text1"/>
                <w:sz w:val="16"/>
                <w:szCs w:val="16"/>
              </w:rPr>
            </w:pPr>
          </w:p>
        </w:tc>
        <w:tc>
          <w:tcPr>
            <w:tcW w:w="1417" w:type="dxa"/>
            <w:tcBorders>
              <w:top w:val="nil"/>
              <w:left w:val="nil"/>
              <w:bottom w:val="single" w:sz="4" w:space="0" w:color="auto"/>
              <w:right w:val="single" w:sz="4" w:space="0" w:color="auto"/>
            </w:tcBorders>
            <w:shd w:val="clear" w:color="auto" w:fill="auto"/>
            <w:hideMark/>
          </w:tcPr>
          <w:p w14:paraId="6BE11502"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850" w:type="dxa"/>
            <w:tcBorders>
              <w:top w:val="nil"/>
              <w:left w:val="nil"/>
              <w:bottom w:val="single" w:sz="4" w:space="0" w:color="auto"/>
              <w:right w:val="single" w:sz="4" w:space="0" w:color="auto"/>
            </w:tcBorders>
            <w:shd w:val="clear" w:color="auto" w:fill="auto"/>
            <w:hideMark/>
          </w:tcPr>
          <w:p w14:paraId="34EFEBE8"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7339F89F"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708" w:type="dxa"/>
            <w:tcBorders>
              <w:top w:val="nil"/>
              <w:left w:val="nil"/>
              <w:bottom w:val="single" w:sz="4" w:space="0" w:color="auto"/>
              <w:right w:val="single" w:sz="4" w:space="0" w:color="auto"/>
            </w:tcBorders>
            <w:shd w:val="clear" w:color="auto" w:fill="auto"/>
            <w:hideMark/>
          </w:tcPr>
          <w:p w14:paraId="1203E7B2"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3ADC5BED" w14:textId="77777777" w:rsidR="00E02032" w:rsidRPr="004C209D" w:rsidRDefault="00E02032" w:rsidP="00233C12">
            <w:pPr>
              <w:rPr>
                <w:color w:val="000000" w:themeColor="text1"/>
                <w:sz w:val="16"/>
                <w:szCs w:val="16"/>
              </w:rPr>
            </w:pPr>
            <w:r w:rsidRPr="004C209D">
              <w:rPr>
                <w:color w:val="000000" w:themeColor="text1"/>
                <w:sz w:val="16"/>
                <w:szCs w:val="16"/>
              </w:rPr>
              <w:t> </w:t>
            </w:r>
          </w:p>
        </w:tc>
      </w:tr>
      <w:tr w:rsidR="00E02032" w:rsidRPr="004C209D" w14:paraId="7FE6C86E"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71BDC7A5" w14:textId="77777777" w:rsidR="00E02032" w:rsidRPr="004C209D" w:rsidRDefault="00E02032" w:rsidP="00233C12">
            <w:pPr>
              <w:rPr>
                <w:b/>
                <w:bCs/>
                <w:color w:val="000000"/>
                <w:sz w:val="16"/>
                <w:szCs w:val="16"/>
              </w:rPr>
            </w:pP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18A100BA" w14:textId="77777777" w:rsidR="00E02032" w:rsidRPr="004C209D" w:rsidRDefault="00E02032" w:rsidP="00233C12">
            <w:pPr>
              <w:rPr>
                <w:color w:val="000000" w:themeColor="text1"/>
                <w:sz w:val="16"/>
                <w:szCs w:val="16"/>
              </w:rPr>
            </w:pPr>
            <w:r w:rsidRPr="004C209D">
              <w:rPr>
                <w:color w:val="000000" w:themeColor="text1"/>
                <w:sz w:val="16"/>
                <w:szCs w:val="16"/>
              </w:rPr>
              <w:t>SANGHA-MBAERE </w:t>
            </w:r>
          </w:p>
        </w:tc>
        <w:tc>
          <w:tcPr>
            <w:tcW w:w="1418" w:type="dxa"/>
            <w:tcBorders>
              <w:top w:val="nil"/>
              <w:left w:val="nil"/>
              <w:bottom w:val="single" w:sz="4" w:space="0" w:color="auto"/>
              <w:right w:val="single" w:sz="4" w:space="0" w:color="auto"/>
            </w:tcBorders>
            <w:shd w:val="clear" w:color="auto" w:fill="auto"/>
            <w:hideMark/>
          </w:tcPr>
          <w:p w14:paraId="73A595BE" w14:textId="77777777" w:rsidR="00E02032" w:rsidRPr="004C209D" w:rsidRDefault="00E02032" w:rsidP="00233C12">
            <w:pPr>
              <w:rPr>
                <w:color w:val="000000" w:themeColor="text1"/>
                <w:sz w:val="16"/>
                <w:szCs w:val="16"/>
              </w:rPr>
            </w:pPr>
            <w:r w:rsidRPr="004C209D">
              <w:rPr>
                <w:color w:val="000000" w:themeColor="text1"/>
                <w:sz w:val="16"/>
                <w:szCs w:val="16"/>
              </w:rPr>
              <w:t>BAMBIO </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14:paraId="326E8060" w14:textId="77777777" w:rsidR="00E02032" w:rsidRPr="004C209D" w:rsidRDefault="00E02032" w:rsidP="00233C12">
            <w:pPr>
              <w:rPr>
                <w:color w:val="000000" w:themeColor="text1"/>
                <w:sz w:val="16"/>
                <w:szCs w:val="16"/>
              </w:rPr>
            </w:pPr>
            <w:r w:rsidRPr="004C209D">
              <w:rPr>
                <w:color w:val="000000" w:themeColor="text1"/>
                <w:sz w:val="16"/>
                <w:szCs w:val="16"/>
              </w:rPr>
              <w:t>DS. 2.4 SANGHA-MBAERE </w:t>
            </w:r>
          </w:p>
        </w:tc>
        <w:tc>
          <w:tcPr>
            <w:tcW w:w="1417" w:type="dxa"/>
            <w:tcBorders>
              <w:top w:val="nil"/>
              <w:left w:val="nil"/>
              <w:bottom w:val="single" w:sz="4" w:space="0" w:color="auto"/>
              <w:right w:val="single" w:sz="4" w:space="0" w:color="auto"/>
            </w:tcBorders>
            <w:shd w:val="clear" w:color="auto" w:fill="auto"/>
            <w:hideMark/>
          </w:tcPr>
          <w:p w14:paraId="543FC182"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850" w:type="dxa"/>
            <w:tcBorders>
              <w:top w:val="nil"/>
              <w:left w:val="nil"/>
              <w:bottom w:val="single" w:sz="4" w:space="0" w:color="auto"/>
              <w:right w:val="single" w:sz="4" w:space="0" w:color="auto"/>
            </w:tcBorders>
            <w:shd w:val="clear" w:color="auto" w:fill="auto"/>
            <w:hideMark/>
          </w:tcPr>
          <w:p w14:paraId="2CEF81E0"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7B564C8E"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708" w:type="dxa"/>
            <w:tcBorders>
              <w:top w:val="nil"/>
              <w:left w:val="nil"/>
              <w:bottom w:val="single" w:sz="4" w:space="0" w:color="auto"/>
              <w:right w:val="single" w:sz="4" w:space="0" w:color="auto"/>
            </w:tcBorders>
            <w:shd w:val="clear" w:color="auto" w:fill="auto"/>
            <w:hideMark/>
          </w:tcPr>
          <w:p w14:paraId="38C3F027"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4FE0D8B7" w14:textId="77777777" w:rsidR="00E02032" w:rsidRPr="004C209D" w:rsidRDefault="00E02032" w:rsidP="00233C12">
            <w:pPr>
              <w:rPr>
                <w:color w:val="000000" w:themeColor="text1"/>
                <w:sz w:val="16"/>
                <w:szCs w:val="16"/>
              </w:rPr>
            </w:pPr>
            <w:r w:rsidRPr="004C209D">
              <w:rPr>
                <w:color w:val="000000" w:themeColor="text1"/>
                <w:sz w:val="16"/>
                <w:szCs w:val="16"/>
              </w:rPr>
              <w:t> </w:t>
            </w:r>
          </w:p>
        </w:tc>
      </w:tr>
      <w:tr w:rsidR="00E02032" w:rsidRPr="004C209D" w14:paraId="4951B4D6"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53A43000"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5CD25C92"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0D362E73" w14:textId="77777777" w:rsidR="00E02032" w:rsidRPr="004C209D" w:rsidRDefault="00E02032" w:rsidP="00233C12">
            <w:pPr>
              <w:rPr>
                <w:color w:val="000000" w:themeColor="text1"/>
                <w:sz w:val="16"/>
                <w:szCs w:val="16"/>
              </w:rPr>
            </w:pPr>
            <w:r w:rsidRPr="004C209D">
              <w:rPr>
                <w:color w:val="000000" w:themeColor="text1"/>
                <w:sz w:val="16"/>
                <w:szCs w:val="16"/>
              </w:rPr>
              <w:t>BAYANGA</w:t>
            </w:r>
          </w:p>
        </w:tc>
        <w:tc>
          <w:tcPr>
            <w:tcW w:w="1560" w:type="dxa"/>
            <w:vMerge/>
            <w:tcBorders>
              <w:top w:val="nil"/>
              <w:left w:val="single" w:sz="4" w:space="0" w:color="auto"/>
              <w:bottom w:val="single" w:sz="4" w:space="0" w:color="auto"/>
              <w:right w:val="single" w:sz="4" w:space="0" w:color="auto"/>
            </w:tcBorders>
            <w:shd w:val="clear" w:color="auto" w:fill="auto"/>
            <w:vAlign w:val="center"/>
            <w:hideMark/>
          </w:tcPr>
          <w:p w14:paraId="72A0AA58" w14:textId="77777777" w:rsidR="00E02032" w:rsidRPr="004C209D" w:rsidRDefault="00E02032" w:rsidP="00233C12">
            <w:pPr>
              <w:rPr>
                <w:color w:val="000000" w:themeColor="text1"/>
                <w:sz w:val="16"/>
                <w:szCs w:val="16"/>
              </w:rPr>
            </w:pPr>
          </w:p>
        </w:tc>
        <w:tc>
          <w:tcPr>
            <w:tcW w:w="1417" w:type="dxa"/>
            <w:tcBorders>
              <w:top w:val="nil"/>
              <w:left w:val="nil"/>
              <w:bottom w:val="single" w:sz="4" w:space="0" w:color="auto"/>
              <w:right w:val="single" w:sz="4" w:space="0" w:color="auto"/>
            </w:tcBorders>
            <w:shd w:val="clear" w:color="auto" w:fill="auto"/>
            <w:hideMark/>
          </w:tcPr>
          <w:p w14:paraId="18B3F77E"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850" w:type="dxa"/>
            <w:tcBorders>
              <w:top w:val="nil"/>
              <w:left w:val="nil"/>
              <w:bottom w:val="single" w:sz="4" w:space="0" w:color="auto"/>
              <w:right w:val="single" w:sz="4" w:space="0" w:color="auto"/>
            </w:tcBorders>
            <w:shd w:val="clear" w:color="auto" w:fill="auto"/>
            <w:hideMark/>
          </w:tcPr>
          <w:p w14:paraId="4B2A6AA0"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35494B66"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708" w:type="dxa"/>
            <w:tcBorders>
              <w:top w:val="nil"/>
              <w:left w:val="nil"/>
              <w:bottom w:val="single" w:sz="4" w:space="0" w:color="auto"/>
              <w:right w:val="single" w:sz="4" w:space="0" w:color="auto"/>
            </w:tcBorders>
            <w:shd w:val="clear" w:color="auto" w:fill="auto"/>
            <w:hideMark/>
          </w:tcPr>
          <w:p w14:paraId="57DE68A3"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0A61143A" w14:textId="77777777" w:rsidR="00E02032" w:rsidRPr="004C209D" w:rsidRDefault="00E02032" w:rsidP="00233C12">
            <w:pPr>
              <w:rPr>
                <w:color w:val="000000" w:themeColor="text1"/>
                <w:sz w:val="16"/>
                <w:szCs w:val="16"/>
              </w:rPr>
            </w:pPr>
            <w:r w:rsidRPr="004C209D">
              <w:rPr>
                <w:color w:val="000000" w:themeColor="text1"/>
                <w:sz w:val="16"/>
                <w:szCs w:val="16"/>
              </w:rPr>
              <w:t> </w:t>
            </w:r>
          </w:p>
        </w:tc>
      </w:tr>
      <w:tr w:rsidR="00E02032" w:rsidRPr="004C209D" w14:paraId="36235544"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5E933F52"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51F114DD"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28BA4797" w14:textId="77777777" w:rsidR="00E02032" w:rsidRPr="004C209D" w:rsidRDefault="00E02032" w:rsidP="00233C12">
            <w:pPr>
              <w:rPr>
                <w:color w:val="000000" w:themeColor="text1"/>
                <w:sz w:val="16"/>
                <w:szCs w:val="16"/>
              </w:rPr>
            </w:pPr>
            <w:r w:rsidRPr="004C209D">
              <w:rPr>
                <w:color w:val="000000" w:themeColor="text1"/>
                <w:sz w:val="16"/>
                <w:szCs w:val="16"/>
              </w:rPr>
              <w:t>NOLA </w:t>
            </w:r>
          </w:p>
        </w:tc>
        <w:tc>
          <w:tcPr>
            <w:tcW w:w="1560" w:type="dxa"/>
            <w:vMerge/>
            <w:tcBorders>
              <w:top w:val="nil"/>
              <w:left w:val="single" w:sz="4" w:space="0" w:color="auto"/>
              <w:bottom w:val="single" w:sz="4" w:space="0" w:color="auto"/>
              <w:right w:val="single" w:sz="4" w:space="0" w:color="auto"/>
            </w:tcBorders>
            <w:shd w:val="clear" w:color="auto" w:fill="auto"/>
            <w:vAlign w:val="center"/>
            <w:hideMark/>
          </w:tcPr>
          <w:p w14:paraId="0D593583" w14:textId="77777777" w:rsidR="00E02032" w:rsidRPr="004C209D" w:rsidRDefault="00E02032" w:rsidP="00233C12">
            <w:pPr>
              <w:rPr>
                <w:color w:val="000000" w:themeColor="text1"/>
                <w:sz w:val="16"/>
                <w:szCs w:val="16"/>
              </w:rPr>
            </w:pPr>
          </w:p>
        </w:tc>
        <w:tc>
          <w:tcPr>
            <w:tcW w:w="1417" w:type="dxa"/>
            <w:tcBorders>
              <w:top w:val="nil"/>
              <w:left w:val="nil"/>
              <w:bottom w:val="single" w:sz="4" w:space="0" w:color="auto"/>
              <w:right w:val="single" w:sz="4" w:space="0" w:color="auto"/>
            </w:tcBorders>
            <w:shd w:val="clear" w:color="auto" w:fill="auto"/>
            <w:hideMark/>
          </w:tcPr>
          <w:p w14:paraId="3266AB45" w14:textId="77777777" w:rsidR="00E02032" w:rsidRPr="004C209D" w:rsidRDefault="00E02032" w:rsidP="00233C12">
            <w:pPr>
              <w:rPr>
                <w:color w:val="000000" w:themeColor="text1"/>
                <w:sz w:val="16"/>
                <w:szCs w:val="16"/>
              </w:rPr>
            </w:pPr>
            <w:r w:rsidRPr="004C209D">
              <w:rPr>
                <w:color w:val="000000" w:themeColor="text1"/>
                <w:sz w:val="16"/>
                <w:szCs w:val="16"/>
              </w:rPr>
              <w:t>INTERSOS, PLAN</w:t>
            </w:r>
          </w:p>
        </w:tc>
        <w:tc>
          <w:tcPr>
            <w:tcW w:w="850" w:type="dxa"/>
            <w:tcBorders>
              <w:top w:val="nil"/>
              <w:left w:val="nil"/>
              <w:bottom w:val="single" w:sz="4" w:space="0" w:color="auto"/>
              <w:right w:val="single" w:sz="4" w:space="0" w:color="auto"/>
            </w:tcBorders>
            <w:shd w:val="clear" w:color="auto" w:fill="auto"/>
            <w:hideMark/>
          </w:tcPr>
          <w:p w14:paraId="27C55740"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58B0FC47" w14:textId="77777777" w:rsidR="00E02032" w:rsidRPr="004C209D" w:rsidRDefault="00E02032" w:rsidP="00233C12">
            <w:pPr>
              <w:rPr>
                <w:color w:val="000000" w:themeColor="text1"/>
                <w:sz w:val="16"/>
                <w:szCs w:val="16"/>
              </w:rPr>
            </w:pPr>
            <w:r w:rsidRPr="004C209D">
              <w:rPr>
                <w:color w:val="000000" w:themeColor="text1"/>
                <w:sz w:val="16"/>
                <w:szCs w:val="16"/>
              </w:rPr>
              <w:t>INTERSOS, PLAN</w:t>
            </w:r>
          </w:p>
        </w:tc>
        <w:tc>
          <w:tcPr>
            <w:tcW w:w="708" w:type="dxa"/>
            <w:tcBorders>
              <w:top w:val="nil"/>
              <w:left w:val="nil"/>
              <w:bottom w:val="single" w:sz="4" w:space="0" w:color="auto"/>
              <w:right w:val="single" w:sz="4" w:space="0" w:color="auto"/>
            </w:tcBorders>
            <w:shd w:val="clear" w:color="auto" w:fill="auto"/>
            <w:hideMark/>
          </w:tcPr>
          <w:p w14:paraId="18CB1B51"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42E3BF01" w14:textId="77777777" w:rsidR="00E02032" w:rsidRPr="004C209D" w:rsidRDefault="00E02032" w:rsidP="00233C12">
            <w:pPr>
              <w:rPr>
                <w:color w:val="000000" w:themeColor="text1"/>
                <w:sz w:val="16"/>
                <w:szCs w:val="16"/>
              </w:rPr>
            </w:pPr>
            <w:r w:rsidRPr="004C209D">
              <w:rPr>
                <w:color w:val="000000" w:themeColor="text1"/>
                <w:sz w:val="16"/>
                <w:szCs w:val="16"/>
              </w:rPr>
              <w:t>INTERSOS</w:t>
            </w:r>
          </w:p>
        </w:tc>
      </w:tr>
      <w:tr w:rsidR="00E02032" w:rsidRPr="004C209D" w14:paraId="70C531DE"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048AEB9F" w14:textId="77777777" w:rsidR="00E02032" w:rsidRPr="004C209D" w:rsidRDefault="00E02032" w:rsidP="00233C12">
            <w:pPr>
              <w:rPr>
                <w:b/>
                <w:bCs/>
                <w:color w:val="000000"/>
                <w:sz w:val="16"/>
                <w:szCs w:val="16"/>
              </w:rPr>
            </w:pP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607DE509" w14:textId="77777777" w:rsidR="00E02032" w:rsidRPr="004C209D" w:rsidRDefault="00E02032" w:rsidP="00233C12">
            <w:pPr>
              <w:rPr>
                <w:color w:val="000000" w:themeColor="text1"/>
                <w:sz w:val="16"/>
                <w:szCs w:val="16"/>
              </w:rPr>
            </w:pPr>
            <w:r w:rsidRPr="004C209D">
              <w:rPr>
                <w:color w:val="000000" w:themeColor="text1"/>
                <w:sz w:val="16"/>
                <w:szCs w:val="16"/>
              </w:rPr>
              <w:t>NANA-MAMBERE </w:t>
            </w:r>
          </w:p>
        </w:tc>
        <w:tc>
          <w:tcPr>
            <w:tcW w:w="1418" w:type="dxa"/>
            <w:tcBorders>
              <w:top w:val="nil"/>
              <w:left w:val="nil"/>
              <w:bottom w:val="single" w:sz="4" w:space="0" w:color="auto"/>
              <w:right w:val="single" w:sz="4" w:space="0" w:color="auto"/>
            </w:tcBorders>
            <w:shd w:val="clear" w:color="auto" w:fill="auto"/>
            <w:hideMark/>
          </w:tcPr>
          <w:p w14:paraId="58C885E6" w14:textId="77777777" w:rsidR="00E02032" w:rsidRPr="004C209D" w:rsidRDefault="00E02032" w:rsidP="00233C12">
            <w:pPr>
              <w:rPr>
                <w:color w:val="000000" w:themeColor="text1"/>
                <w:sz w:val="16"/>
                <w:szCs w:val="16"/>
              </w:rPr>
            </w:pPr>
            <w:r w:rsidRPr="004C209D">
              <w:rPr>
                <w:color w:val="000000" w:themeColor="text1"/>
                <w:sz w:val="16"/>
                <w:szCs w:val="16"/>
              </w:rPr>
              <w:t>BAORO </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14:paraId="1FC5BD85" w14:textId="77777777" w:rsidR="00E02032" w:rsidRPr="004C209D" w:rsidRDefault="00E02032" w:rsidP="00233C12">
            <w:pPr>
              <w:rPr>
                <w:color w:val="000000" w:themeColor="text1"/>
                <w:sz w:val="16"/>
                <w:szCs w:val="16"/>
              </w:rPr>
            </w:pPr>
            <w:r w:rsidRPr="004C209D">
              <w:rPr>
                <w:color w:val="000000" w:themeColor="text1"/>
                <w:sz w:val="16"/>
                <w:szCs w:val="16"/>
              </w:rPr>
              <w:t>DS. 2.5 Bouar-Baoro</w:t>
            </w:r>
          </w:p>
        </w:tc>
        <w:tc>
          <w:tcPr>
            <w:tcW w:w="1417" w:type="dxa"/>
            <w:tcBorders>
              <w:top w:val="nil"/>
              <w:left w:val="nil"/>
              <w:bottom w:val="single" w:sz="4" w:space="0" w:color="auto"/>
              <w:right w:val="single" w:sz="4" w:space="0" w:color="auto"/>
            </w:tcBorders>
            <w:shd w:val="clear" w:color="auto" w:fill="auto"/>
            <w:hideMark/>
          </w:tcPr>
          <w:p w14:paraId="00045F8D"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850" w:type="dxa"/>
            <w:tcBorders>
              <w:top w:val="nil"/>
              <w:left w:val="nil"/>
              <w:bottom w:val="single" w:sz="4" w:space="0" w:color="auto"/>
              <w:right w:val="single" w:sz="4" w:space="0" w:color="auto"/>
            </w:tcBorders>
            <w:shd w:val="clear" w:color="auto" w:fill="auto"/>
            <w:hideMark/>
          </w:tcPr>
          <w:p w14:paraId="42D25B98"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1B10B8FA"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708" w:type="dxa"/>
            <w:tcBorders>
              <w:top w:val="nil"/>
              <w:left w:val="nil"/>
              <w:bottom w:val="single" w:sz="4" w:space="0" w:color="auto"/>
              <w:right w:val="single" w:sz="4" w:space="0" w:color="auto"/>
            </w:tcBorders>
            <w:shd w:val="clear" w:color="auto" w:fill="auto"/>
            <w:hideMark/>
          </w:tcPr>
          <w:p w14:paraId="6B951F97"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52E9DCB7" w14:textId="77777777" w:rsidR="00E02032" w:rsidRPr="004C209D" w:rsidRDefault="00E02032" w:rsidP="00233C12">
            <w:pPr>
              <w:rPr>
                <w:color w:val="000000" w:themeColor="text1"/>
                <w:sz w:val="16"/>
                <w:szCs w:val="16"/>
              </w:rPr>
            </w:pPr>
            <w:r w:rsidRPr="004C209D">
              <w:rPr>
                <w:color w:val="000000" w:themeColor="text1"/>
                <w:sz w:val="16"/>
                <w:szCs w:val="16"/>
              </w:rPr>
              <w:t> </w:t>
            </w:r>
          </w:p>
        </w:tc>
      </w:tr>
      <w:tr w:rsidR="00E02032" w:rsidRPr="004C209D" w14:paraId="633726BA"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5817063C"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06571DEB"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572365FC" w14:textId="77777777" w:rsidR="00E02032" w:rsidRPr="004C209D" w:rsidRDefault="00E02032" w:rsidP="00233C12">
            <w:pPr>
              <w:rPr>
                <w:color w:val="000000" w:themeColor="text1"/>
                <w:sz w:val="16"/>
                <w:szCs w:val="16"/>
              </w:rPr>
            </w:pPr>
            <w:r w:rsidRPr="004C209D">
              <w:rPr>
                <w:color w:val="000000" w:themeColor="text1"/>
                <w:sz w:val="16"/>
                <w:szCs w:val="16"/>
              </w:rPr>
              <w:t>BOUAR </w:t>
            </w:r>
          </w:p>
        </w:tc>
        <w:tc>
          <w:tcPr>
            <w:tcW w:w="1560" w:type="dxa"/>
            <w:vMerge/>
            <w:tcBorders>
              <w:top w:val="nil"/>
              <w:left w:val="single" w:sz="4" w:space="0" w:color="auto"/>
              <w:bottom w:val="single" w:sz="4" w:space="0" w:color="auto"/>
              <w:right w:val="single" w:sz="4" w:space="0" w:color="auto"/>
            </w:tcBorders>
            <w:vAlign w:val="center"/>
            <w:hideMark/>
          </w:tcPr>
          <w:p w14:paraId="040C556F" w14:textId="77777777" w:rsidR="00E02032" w:rsidRPr="004C209D" w:rsidRDefault="00E02032" w:rsidP="00233C12">
            <w:pPr>
              <w:rPr>
                <w:color w:val="000000" w:themeColor="text1"/>
                <w:sz w:val="16"/>
                <w:szCs w:val="16"/>
              </w:rPr>
            </w:pPr>
          </w:p>
        </w:tc>
        <w:tc>
          <w:tcPr>
            <w:tcW w:w="1417" w:type="dxa"/>
            <w:tcBorders>
              <w:top w:val="nil"/>
              <w:left w:val="nil"/>
              <w:bottom w:val="single" w:sz="4" w:space="0" w:color="auto"/>
              <w:right w:val="single" w:sz="4" w:space="0" w:color="auto"/>
            </w:tcBorders>
            <w:shd w:val="clear" w:color="auto" w:fill="auto"/>
            <w:hideMark/>
          </w:tcPr>
          <w:p w14:paraId="6836317A" w14:textId="77777777" w:rsidR="00E02032" w:rsidRPr="004C209D" w:rsidRDefault="00E02032" w:rsidP="00233C12">
            <w:pPr>
              <w:rPr>
                <w:color w:val="000000" w:themeColor="text1"/>
                <w:sz w:val="16"/>
                <w:szCs w:val="16"/>
              </w:rPr>
            </w:pPr>
            <w:r w:rsidRPr="004C209D">
              <w:rPr>
                <w:color w:val="000000" w:themeColor="text1"/>
                <w:sz w:val="16"/>
                <w:szCs w:val="16"/>
              </w:rPr>
              <w:t>WV, MERCY CORPS</w:t>
            </w:r>
          </w:p>
        </w:tc>
        <w:tc>
          <w:tcPr>
            <w:tcW w:w="850" w:type="dxa"/>
            <w:tcBorders>
              <w:top w:val="nil"/>
              <w:left w:val="nil"/>
              <w:bottom w:val="single" w:sz="4" w:space="0" w:color="auto"/>
              <w:right w:val="single" w:sz="4" w:space="0" w:color="auto"/>
            </w:tcBorders>
            <w:shd w:val="clear" w:color="auto" w:fill="auto"/>
            <w:hideMark/>
          </w:tcPr>
          <w:p w14:paraId="02151155"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7D468E97" w14:textId="77777777" w:rsidR="00E02032" w:rsidRPr="004C209D" w:rsidRDefault="00E02032" w:rsidP="00233C12">
            <w:pPr>
              <w:rPr>
                <w:color w:val="000000" w:themeColor="text1"/>
                <w:sz w:val="16"/>
                <w:szCs w:val="16"/>
              </w:rPr>
            </w:pPr>
            <w:r w:rsidRPr="004C209D">
              <w:rPr>
                <w:color w:val="000000" w:themeColor="text1"/>
                <w:sz w:val="16"/>
                <w:szCs w:val="16"/>
              </w:rPr>
              <w:t>MERCY CORPS</w:t>
            </w:r>
          </w:p>
        </w:tc>
        <w:tc>
          <w:tcPr>
            <w:tcW w:w="708" w:type="dxa"/>
            <w:tcBorders>
              <w:top w:val="nil"/>
              <w:left w:val="nil"/>
              <w:bottom w:val="single" w:sz="4" w:space="0" w:color="auto"/>
              <w:right w:val="single" w:sz="4" w:space="0" w:color="auto"/>
            </w:tcBorders>
            <w:shd w:val="clear" w:color="auto" w:fill="auto"/>
            <w:hideMark/>
          </w:tcPr>
          <w:p w14:paraId="16D93736"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2627E2DE" w14:textId="77777777" w:rsidR="00E02032" w:rsidRPr="004C209D" w:rsidRDefault="00E02032" w:rsidP="00233C12">
            <w:pPr>
              <w:rPr>
                <w:color w:val="000000" w:themeColor="text1"/>
                <w:sz w:val="16"/>
                <w:szCs w:val="16"/>
              </w:rPr>
            </w:pPr>
            <w:r w:rsidRPr="004C209D">
              <w:rPr>
                <w:color w:val="000000" w:themeColor="text1"/>
                <w:sz w:val="16"/>
                <w:szCs w:val="16"/>
              </w:rPr>
              <w:t>MERCY CORPS</w:t>
            </w:r>
          </w:p>
        </w:tc>
      </w:tr>
      <w:tr w:rsidR="00E02032" w:rsidRPr="004C209D" w14:paraId="0EAB76CF"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55D5A3BB"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7FF727ED"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47C3BDFC" w14:textId="77777777" w:rsidR="00E02032" w:rsidRPr="004C209D" w:rsidRDefault="00E02032" w:rsidP="00233C12">
            <w:pPr>
              <w:rPr>
                <w:color w:val="000000" w:themeColor="text1"/>
                <w:sz w:val="16"/>
                <w:szCs w:val="16"/>
              </w:rPr>
            </w:pPr>
            <w:r w:rsidRPr="004C209D">
              <w:rPr>
                <w:color w:val="000000" w:themeColor="text1"/>
                <w:sz w:val="16"/>
                <w:szCs w:val="16"/>
              </w:rPr>
              <w:t>BABOUA</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14:paraId="3B5C555F" w14:textId="77777777" w:rsidR="00E02032" w:rsidRPr="004C209D" w:rsidRDefault="00E02032" w:rsidP="00233C12">
            <w:pPr>
              <w:rPr>
                <w:color w:val="000000" w:themeColor="text1"/>
                <w:sz w:val="16"/>
                <w:szCs w:val="16"/>
              </w:rPr>
            </w:pPr>
            <w:r w:rsidRPr="004C209D">
              <w:rPr>
                <w:color w:val="000000" w:themeColor="text1"/>
                <w:sz w:val="16"/>
                <w:szCs w:val="16"/>
              </w:rPr>
              <w:t>DS. 2.6 Baboua-Abba</w:t>
            </w:r>
          </w:p>
        </w:tc>
        <w:tc>
          <w:tcPr>
            <w:tcW w:w="1417" w:type="dxa"/>
            <w:tcBorders>
              <w:top w:val="nil"/>
              <w:left w:val="nil"/>
              <w:bottom w:val="single" w:sz="4" w:space="0" w:color="auto"/>
              <w:right w:val="single" w:sz="4" w:space="0" w:color="auto"/>
            </w:tcBorders>
            <w:shd w:val="clear" w:color="auto" w:fill="auto"/>
            <w:hideMark/>
          </w:tcPr>
          <w:p w14:paraId="6043FBC5"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850" w:type="dxa"/>
            <w:tcBorders>
              <w:top w:val="nil"/>
              <w:left w:val="nil"/>
              <w:bottom w:val="single" w:sz="4" w:space="0" w:color="auto"/>
              <w:right w:val="single" w:sz="4" w:space="0" w:color="auto"/>
            </w:tcBorders>
            <w:shd w:val="clear" w:color="auto" w:fill="auto"/>
            <w:hideMark/>
          </w:tcPr>
          <w:p w14:paraId="2B1EA1BD"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512F9C16" w14:textId="77777777" w:rsidR="00E02032" w:rsidRPr="004C209D" w:rsidRDefault="00E02032" w:rsidP="00233C12">
            <w:pPr>
              <w:rPr>
                <w:color w:val="000000" w:themeColor="text1"/>
                <w:sz w:val="16"/>
                <w:szCs w:val="16"/>
              </w:rPr>
            </w:pPr>
            <w:r w:rsidRPr="004C209D">
              <w:rPr>
                <w:color w:val="000000" w:themeColor="text1"/>
                <w:sz w:val="16"/>
                <w:szCs w:val="16"/>
              </w:rPr>
              <w:t>ABA</w:t>
            </w:r>
          </w:p>
        </w:tc>
        <w:tc>
          <w:tcPr>
            <w:tcW w:w="708" w:type="dxa"/>
            <w:tcBorders>
              <w:top w:val="nil"/>
              <w:left w:val="nil"/>
              <w:bottom w:val="single" w:sz="4" w:space="0" w:color="auto"/>
              <w:right w:val="single" w:sz="4" w:space="0" w:color="auto"/>
            </w:tcBorders>
            <w:shd w:val="clear" w:color="auto" w:fill="auto"/>
            <w:hideMark/>
          </w:tcPr>
          <w:p w14:paraId="2A83DC53" w14:textId="77777777" w:rsidR="00E02032" w:rsidRPr="004C209D" w:rsidRDefault="00E02032" w:rsidP="00233C12">
            <w:pPr>
              <w:rPr>
                <w:color w:val="000000" w:themeColor="text1"/>
                <w:sz w:val="16"/>
                <w:szCs w:val="16"/>
              </w:rPr>
            </w:pPr>
            <w:r w:rsidRPr="004C209D">
              <w:rPr>
                <w:color w:val="000000" w:themeColor="text1"/>
                <w:sz w:val="16"/>
                <w:szCs w:val="16"/>
              </w:rPr>
              <w:t>ABA</w:t>
            </w:r>
          </w:p>
        </w:tc>
        <w:tc>
          <w:tcPr>
            <w:tcW w:w="1276" w:type="dxa"/>
            <w:tcBorders>
              <w:top w:val="nil"/>
              <w:left w:val="nil"/>
              <w:bottom w:val="single" w:sz="4" w:space="0" w:color="auto"/>
              <w:right w:val="single" w:sz="4" w:space="0" w:color="auto"/>
            </w:tcBorders>
            <w:shd w:val="clear" w:color="auto" w:fill="auto"/>
            <w:hideMark/>
          </w:tcPr>
          <w:p w14:paraId="1FA817F3" w14:textId="77777777" w:rsidR="00E02032" w:rsidRPr="004C209D" w:rsidRDefault="00E02032" w:rsidP="00233C12">
            <w:pPr>
              <w:rPr>
                <w:color w:val="000000" w:themeColor="text1"/>
                <w:sz w:val="16"/>
                <w:szCs w:val="16"/>
              </w:rPr>
            </w:pPr>
            <w:r w:rsidRPr="004C209D">
              <w:rPr>
                <w:color w:val="000000" w:themeColor="text1"/>
                <w:sz w:val="16"/>
                <w:szCs w:val="16"/>
              </w:rPr>
              <w:t> </w:t>
            </w:r>
          </w:p>
        </w:tc>
      </w:tr>
      <w:tr w:rsidR="00E02032" w:rsidRPr="004C209D" w14:paraId="2F84CE9F"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62F99925"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1C751841"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53303A19" w14:textId="77777777" w:rsidR="00E02032" w:rsidRPr="004C209D" w:rsidRDefault="00E02032" w:rsidP="00233C12">
            <w:pPr>
              <w:rPr>
                <w:color w:val="000000" w:themeColor="text1"/>
                <w:sz w:val="16"/>
                <w:szCs w:val="16"/>
              </w:rPr>
            </w:pPr>
            <w:r w:rsidRPr="004C209D">
              <w:rPr>
                <w:color w:val="000000" w:themeColor="text1"/>
                <w:sz w:val="16"/>
                <w:szCs w:val="16"/>
              </w:rPr>
              <w:t>ABBA</w:t>
            </w:r>
          </w:p>
        </w:tc>
        <w:tc>
          <w:tcPr>
            <w:tcW w:w="1560" w:type="dxa"/>
            <w:vMerge/>
            <w:tcBorders>
              <w:top w:val="nil"/>
              <w:left w:val="single" w:sz="4" w:space="0" w:color="auto"/>
              <w:bottom w:val="single" w:sz="4" w:space="0" w:color="auto"/>
              <w:right w:val="single" w:sz="4" w:space="0" w:color="auto"/>
            </w:tcBorders>
            <w:vAlign w:val="center"/>
            <w:hideMark/>
          </w:tcPr>
          <w:p w14:paraId="7C31ABAB" w14:textId="77777777" w:rsidR="00E02032" w:rsidRPr="004C209D" w:rsidRDefault="00E02032" w:rsidP="00233C12">
            <w:pPr>
              <w:rPr>
                <w:color w:val="000000" w:themeColor="text1"/>
                <w:sz w:val="16"/>
                <w:szCs w:val="16"/>
              </w:rPr>
            </w:pPr>
          </w:p>
        </w:tc>
        <w:tc>
          <w:tcPr>
            <w:tcW w:w="1417" w:type="dxa"/>
            <w:tcBorders>
              <w:top w:val="nil"/>
              <w:left w:val="nil"/>
              <w:bottom w:val="single" w:sz="4" w:space="0" w:color="auto"/>
              <w:right w:val="single" w:sz="4" w:space="0" w:color="auto"/>
            </w:tcBorders>
            <w:shd w:val="clear" w:color="auto" w:fill="auto"/>
            <w:hideMark/>
          </w:tcPr>
          <w:p w14:paraId="1893B01E" w14:textId="77777777" w:rsidR="00E02032" w:rsidRPr="004C209D" w:rsidRDefault="00E02032" w:rsidP="00233C12">
            <w:pPr>
              <w:rPr>
                <w:color w:val="000000" w:themeColor="text1"/>
                <w:sz w:val="16"/>
                <w:szCs w:val="16"/>
              </w:rPr>
            </w:pPr>
            <w:r w:rsidRPr="004C209D">
              <w:rPr>
                <w:color w:val="000000" w:themeColor="text1"/>
                <w:sz w:val="16"/>
                <w:szCs w:val="16"/>
              </w:rPr>
              <w:t>MERCY CORPS</w:t>
            </w:r>
          </w:p>
        </w:tc>
        <w:tc>
          <w:tcPr>
            <w:tcW w:w="850" w:type="dxa"/>
            <w:tcBorders>
              <w:top w:val="nil"/>
              <w:left w:val="nil"/>
              <w:bottom w:val="single" w:sz="4" w:space="0" w:color="auto"/>
              <w:right w:val="single" w:sz="4" w:space="0" w:color="auto"/>
            </w:tcBorders>
            <w:shd w:val="clear" w:color="auto" w:fill="auto"/>
            <w:hideMark/>
          </w:tcPr>
          <w:p w14:paraId="74D81F13"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222D143D" w14:textId="77777777" w:rsidR="00E02032" w:rsidRPr="004C209D" w:rsidRDefault="00E02032" w:rsidP="00233C12">
            <w:pPr>
              <w:rPr>
                <w:color w:val="000000" w:themeColor="text1"/>
                <w:sz w:val="16"/>
                <w:szCs w:val="16"/>
              </w:rPr>
            </w:pPr>
            <w:r w:rsidRPr="004C209D">
              <w:rPr>
                <w:color w:val="000000" w:themeColor="text1"/>
                <w:sz w:val="16"/>
                <w:szCs w:val="16"/>
              </w:rPr>
              <w:t>MERCY CORPS</w:t>
            </w:r>
          </w:p>
        </w:tc>
        <w:tc>
          <w:tcPr>
            <w:tcW w:w="708" w:type="dxa"/>
            <w:tcBorders>
              <w:top w:val="nil"/>
              <w:left w:val="nil"/>
              <w:bottom w:val="single" w:sz="4" w:space="0" w:color="auto"/>
              <w:right w:val="single" w:sz="4" w:space="0" w:color="auto"/>
            </w:tcBorders>
            <w:shd w:val="clear" w:color="auto" w:fill="auto"/>
            <w:hideMark/>
          </w:tcPr>
          <w:p w14:paraId="366E3736"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3D48DE4C" w14:textId="77777777" w:rsidR="00E02032" w:rsidRPr="004C209D" w:rsidRDefault="00E02032" w:rsidP="00233C12">
            <w:pPr>
              <w:rPr>
                <w:color w:val="000000" w:themeColor="text1"/>
                <w:sz w:val="16"/>
                <w:szCs w:val="16"/>
              </w:rPr>
            </w:pPr>
            <w:r w:rsidRPr="004C209D">
              <w:rPr>
                <w:color w:val="000000" w:themeColor="text1"/>
                <w:sz w:val="16"/>
                <w:szCs w:val="16"/>
              </w:rPr>
              <w:t>MERCY CORPS</w:t>
            </w:r>
          </w:p>
        </w:tc>
      </w:tr>
      <w:tr w:rsidR="00E02032" w:rsidRPr="004C209D" w14:paraId="23B9969C" w14:textId="77777777" w:rsidTr="00233C12">
        <w:trPr>
          <w:trHeight w:val="20"/>
        </w:trPr>
        <w:tc>
          <w:tcPr>
            <w:tcW w:w="421"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14F76868" w14:textId="77777777" w:rsidR="00E02032" w:rsidRPr="004C209D" w:rsidRDefault="00E02032" w:rsidP="00233C12">
            <w:pPr>
              <w:jc w:val="center"/>
              <w:rPr>
                <w:b/>
                <w:bCs/>
                <w:color w:val="000000"/>
                <w:sz w:val="16"/>
                <w:szCs w:val="16"/>
              </w:rPr>
            </w:pPr>
            <w:r w:rsidRPr="004C209D">
              <w:rPr>
                <w:b/>
                <w:bCs/>
                <w:color w:val="000000"/>
                <w:sz w:val="16"/>
                <w:szCs w:val="16"/>
              </w:rPr>
              <w:t>3 </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726D0B8F" w14:textId="77777777" w:rsidR="00E02032" w:rsidRPr="004C209D" w:rsidRDefault="00E02032" w:rsidP="00233C12">
            <w:pPr>
              <w:rPr>
                <w:color w:val="000000" w:themeColor="text1"/>
                <w:sz w:val="16"/>
                <w:szCs w:val="16"/>
              </w:rPr>
            </w:pPr>
            <w:r w:rsidRPr="004C209D">
              <w:rPr>
                <w:color w:val="000000" w:themeColor="text1"/>
                <w:sz w:val="16"/>
                <w:szCs w:val="16"/>
              </w:rPr>
              <w:t>OUHAM-PENDE </w:t>
            </w:r>
          </w:p>
        </w:tc>
        <w:tc>
          <w:tcPr>
            <w:tcW w:w="1418" w:type="dxa"/>
            <w:tcBorders>
              <w:top w:val="nil"/>
              <w:left w:val="nil"/>
              <w:bottom w:val="single" w:sz="4" w:space="0" w:color="auto"/>
              <w:right w:val="single" w:sz="4" w:space="0" w:color="auto"/>
            </w:tcBorders>
            <w:shd w:val="clear" w:color="auto" w:fill="auto"/>
            <w:hideMark/>
          </w:tcPr>
          <w:p w14:paraId="5C616C7A" w14:textId="77777777" w:rsidR="00E02032" w:rsidRPr="004C209D" w:rsidRDefault="00E02032" w:rsidP="00233C12">
            <w:pPr>
              <w:rPr>
                <w:color w:val="000000" w:themeColor="text1"/>
                <w:sz w:val="16"/>
                <w:szCs w:val="16"/>
              </w:rPr>
            </w:pPr>
            <w:r w:rsidRPr="004C209D">
              <w:rPr>
                <w:color w:val="000000" w:themeColor="text1"/>
                <w:sz w:val="16"/>
                <w:szCs w:val="16"/>
              </w:rPr>
              <w:t>BOSSEMPTELE</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14:paraId="208B6428" w14:textId="77777777" w:rsidR="00E02032" w:rsidRPr="004C209D" w:rsidRDefault="00E02032" w:rsidP="00233C12">
            <w:pPr>
              <w:rPr>
                <w:color w:val="000000" w:themeColor="text1"/>
                <w:sz w:val="16"/>
                <w:szCs w:val="16"/>
              </w:rPr>
            </w:pPr>
            <w:r w:rsidRPr="004C209D">
              <w:rPr>
                <w:color w:val="000000" w:themeColor="text1"/>
                <w:sz w:val="16"/>
                <w:szCs w:val="16"/>
              </w:rPr>
              <w:t>DS. 3.1 Bozoum-Bassemptele</w:t>
            </w:r>
          </w:p>
        </w:tc>
        <w:tc>
          <w:tcPr>
            <w:tcW w:w="1417" w:type="dxa"/>
            <w:tcBorders>
              <w:top w:val="nil"/>
              <w:left w:val="nil"/>
              <w:bottom w:val="single" w:sz="4" w:space="0" w:color="auto"/>
              <w:right w:val="single" w:sz="4" w:space="0" w:color="auto"/>
            </w:tcBorders>
            <w:shd w:val="clear" w:color="auto" w:fill="auto"/>
            <w:hideMark/>
          </w:tcPr>
          <w:p w14:paraId="1E8E1239" w14:textId="77777777" w:rsidR="00E02032" w:rsidRPr="004C209D" w:rsidRDefault="00E02032" w:rsidP="00233C12">
            <w:pPr>
              <w:rPr>
                <w:color w:val="000000" w:themeColor="text1"/>
                <w:sz w:val="16"/>
                <w:szCs w:val="16"/>
              </w:rPr>
            </w:pPr>
            <w:r w:rsidRPr="004C209D">
              <w:rPr>
                <w:color w:val="000000" w:themeColor="text1"/>
                <w:sz w:val="16"/>
                <w:szCs w:val="16"/>
              </w:rPr>
              <w:t>DRC, OXFAM</w:t>
            </w:r>
          </w:p>
        </w:tc>
        <w:tc>
          <w:tcPr>
            <w:tcW w:w="850" w:type="dxa"/>
            <w:tcBorders>
              <w:top w:val="nil"/>
              <w:left w:val="nil"/>
              <w:bottom w:val="single" w:sz="4" w:space="0" w:color="auto"/>
              <w:right w:val="single" w:sz="4" w:space="0" w:color="auto"/>
            </w:tcBorders>
            <w:shd w:val="clear" w:color="auto" w:fill="auto"/>
            <w:hideMark/>
          </w:tcPr>
          <w:p w14:paraId="4B5DD751"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6A1A2A9F" w14:textId="77777777" w:rsidR="00E02032" w:rsidRPr="004C209D" w:rsidRDefault="00E02032" w:rsidP="00233C12">
            <w:pPr>
              <w:rPr>
                <w:color w:val="000000" w:themeColor="text1"/>
                <w:sz w:val="16"/>
                <w:szCs w:val="16"/>
              </w:rPr>
            </w:pPr>
            <w:r w:rsidRPr="004C209D">
              <w:rPr>
                <w:color w:val="000000" w:themeColor="text1"/>
                <w:sz w:val="16"/>
                <w:szCs w:val="16"/>
              </w:rPr>
              <w:t>DRC</w:t>
            </w:r>
          </w:p>
        </w:tc>
        <w:tc>
          <w:tcPr>
            <w:tcW w:w="708" w:type="dxa"/>
            <w:tcBorders>
              <w:top w:val="nil"/>
              <w:left w:val="nil"/>
              <w:bottom w:val="single" w:sz="4" w:space="0" w:color="auto"/>
              <w:right w:val="single" w:sz="4" w:space="0" w:color="auto"/>
            </w:tcBorders>
            <w:shd w:val="clear" w:color="auto" w:fill="auto"/>
            <w:hideMark/>
          </w:tcPr>
          <w:p w14:paraId="08E1FAB2"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605B257A" w14:textId="77777777" w:rsidR="00E02032" w:rsidRPr="004C209D" w:rsidRDefault="00E02032" w:rsidP="00233C12">
            <w:pPr>
              <w:rPr>
                <w:color w:val="000000" w:themeColor="text1"/>
                <w:sz w:val="16"/>
                <w:szCs w:val="16"/>
              </w:rPr>
            </w:pPr>
            <w:r w:rsidRPr="004C209D">
              <w:rPr>
                <w:color w:val="000000" w:themeColor="text1"/>
                <w:sz w:val="16"/>
                <w:szCs w:val="16"/>
              </w:rPr>
              <w:t>DRC</w:t>
            </w:r>
          </w:p>
        </w:tc>
      </w:tr>
      <w:tr w:rsidR="00E02032" w:rsidRPr="004C209D" w14:paraId="65028FEF"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21D3979F"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4D6C6409"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52468CBA" w14:textId="77777777" w:rsidR="00E02032" w:rsidRPr="004C209D" w:rsidRDefault="00E02032" w:rsidP="00233C12">
            <w:pPr>
              <w:rPr>
                <w:color w:val="000000" w:themeColor="text1"/>
                <w:sz w:val="16"/>
                <w:szCs w:val="16"/>
              </w:rPr>
            </w:pPr>
            <w:r w:rsidRPr="004C209D">
              <w:rPr>
                <w:color w:val="000000" w:themeColor="text1"/>
                <w:sz w:val="16"/>
                <w:szCs w:val="16"/>
              </w:rPr>
              <w:t>BOZOUM </w:t>
            </w:r>
          </w:p>
        </w:tc>
        <w:tc>
          <w:tcPr>
            <w:tcW w:w="1560" w:type="dxa"/>
            <w:vMerge/>
            <w:tcBorders>
              <w:top w:val="nil"/>
              <w:left w:val="single" w:sz="4" w:space="0" w:color="auto"/>
              <w:bottom w:val="single" w:sz="4" w:space="0" w:color="auto"/>
              <w:right w:val="single" w:sz="4" w:space="0" w:color="auto"/>
            </w:tcBorders>
            <w:vAlign w:val="center"/>
            <w:hideMark/>
          </w:tcPr>
          <w:p w14:paraId="7791A524" w14:textId="77777777" w:rsidR="00E02032" w:rsidRPr="004C209D" w:rsidRDefault="00E02032" w:rsidP="00233C12">
            <w:pPr>
              <w:rPr>
                <w:color w:val="000000" w:themeColor="text1"/>
                <w:sz w:val="16"/>
                <w:szCs w:val="16"/>
              </w:rPr>
            </w:pPr>
          </w:p>
        </w:tc>
        <w:tc>
          <w:tcPr>
            <w:tcW w:w="1417" w:type="dxa"/>
            <w:tcBorders>
              <w:top w:val="nil"/>
              <w:left w:val="nil"/>
              <w:bottom w:val="single" w:sz="4" w:space="0" w:color="auto"/>
              <w:right w:val="single" w:sz="4" w:space="0" w:color="auto"/>
            </w:tcBorders>
            <w:shd w:val="clear" w:color="auto" w:fill="auto"/>
            <w:hideMark/>
          </w:tcPr>
          <w:p w14:paraId="297953A9" w14:textId="77777777" w:rsidR="00E02032" w:rsidRPr="004C209D" w:rsidRDefault="00E02032" w:rsidP="00233C12">
            <w:pPr>
              <w:rPr>
                <w:color w:val="000000" w:themeColor="text1"/>
                <w:sz w:val="16"/>
                <w:szCs w:val="16"/>
              </w:rPr>
            </w:pPr>
            <w:r w:rsidRPr="004C209D">
              <w:rPr>
                <w:color w:val="000000" w:themeColor="text1"/>
                <w:sz w:val="16"/>
                <w:szCs w:val="16"/>
              </w:rPr>
              <w:t>WV</w:t>
            </w:r>
          </w:p>
        </w:tc>
        <w:tc>
          <w:tcPr>
            <w:tcW w:w="850" w:type="dxa"/>
            <w:tcBorders>
              <w:top w:val="nil"/>
              <w:left w:val="nil"/>
              <w:bottom w:val="single" w:sz="4" w:space="0" w:color="auto"/>
              <w:right w:val="single" w:sz="4" w:space="0" w:color="auto"/>
            </w:tcBorders>
            <w:shd w:val="clear" w:color="auto" w:fill="auto"/>
            <w:hideMark/>
          </w:tcPr>
          <w:p w14:paraId="2E8B3E5B"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2EE3F93C"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708" w:type="dxa"/>
            <w:tcBorders>
              <w:top w:val="nil"/>
              <w:left w:val="nil"/>
              <w:bottom w:val="single" w:sz="4" w:space="0" w:color="auto"/>
              <w:right w:val="single" w:sz="4" w:space="0" w:color="auto"/>
            </w:tcBorders>
            <w:shd w:val="clear" w:color="auto" w:fill="auto"/>
            <w:hideMark/>
          </w:tcPr>
          <w:p w14:paraId="7ADD33E8"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131D4591" w14:textId="77777777" w:rsidR="00E02032" w:rsidRPr="004C209D" w:rsidRDefault="00E02032" w:rsidP="00233C12">
            <w:pPr>
              <w:rPr>
                <w:color w:val="000000" w:themeColor="text1"/>
                <w:sz w:val="16"/>
                <w:szCs w:val="16"/>
              </w:rPr>
            </w:pPr>
            <w:r w:rsidRPr="004C209D">
              <w:rPr>
                <w:color w:val="000000" w:themeColor="text1"/>
                <w:sz w:val="16"/>
                <w:szCs w:val="16"/>
              </w:rPr>
              <w:t> </w:t>
            </w:r>
          </w:p>
        </w:tc>
      </w:tr>
      <w:tr w:rsidR="00E02032" w:rsidRPr="004C209D" w14:paraId="56715835"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2E58AFDF"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1B5FD502"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467B5CC8" w14:textId="77777777" w:rsidR="00E02032" w:rsidRPr="004C209D" w:rsidRDefault="00E02032" w:rsidP="00233C12">
            <w:pPr>
              <w:rPr>
                <w:color w:val="000000" w:themeColor="text1"/>
                <w:sz w:val="16"/>
                <w:szCs w:val="16"/>
              </w:rPr>
            </w:pPr>
            <w:r w:rsidRPr="004C209D">
              <w:rPr>
                <w:color w:val="000000" w:themeColor="text1"/>
                <w:sz w:val="16"/>
                <w:szCs w:val="16"/>
              </w:rPr>
              <w:t>PAOUA </w:t>
            </w:r>
          </w:p>
        </w:tc>
        <w:tc>
          <w:tcPr>
            <w:tcW w:w="1560" w:type="dxa"/>
            <w:tcBorders>
              <w:top w:val="nil"/>
              <w:left w:val="nil"/>
              <w:bottom w:val="single" w:sz="4" w:space="0" w:color="auto"/>
              <w:right w:val="single" w:sz="4" w:space="0" w:color="auto"/>
            </w:tcBorders>
            <w:shd w:val="clear" w:color="auto" w:fill="auto"/>
            <w:hideMark/>
          </w:tcPr>
          <w:p w14:paraId="05A34132" w14:textId="77777777" w:rsidR="00E02032" w:rsidRPr="004C209D" w:rsidRDefault="00E02032" w:rsidP="00233C12">
            <w:pPr>
              <w:rPr>
                <w:color w:val="000000" w:themeColor="text1"/>
                <w:sz w:val="16"/>
                <w:szCs w:val="16"/>
              </w:rPr>
            </w:pPr>
            <w:r w:rsidRPr="004C209D">
              <w:rPr>
                <w:color w:val="000000" w:themeColor="text1"/>
                <w:sz w:val="16"/>
                <w:szCs w:val="16"/>
              </w:rPr>
              <w:t>DS. 3.2 Paoua</w:t>
            </w:r>
          </w:p>
        </w:tc>
        <w:tc>
          <w:tcPr>
            <w:tcW w:w="1417" w:type="dxa"/>
            <w:tcBorders>
              <w:top w:val="nil"/>
              <w:left w:val="nil"/>
              <w:bottom w:val="single" w:sz="4" w:space="0" w:color="auto"/>
              <w:right w:val="single" w:sz="4" w:space="0" w:color="auto"/>
            </w:tcBorders>
            <w:shd w:val="clear" w:color="auto" w:fill="auto"/>
            <w:hideMark/>
          </w:tcPr>
          <w:p w14:paraId="6308DB27" w14:textId="77777777" w:rsidR="00E02032" w:rsidRPr="004C209D" w:rsidRDefault="00E02032" w:rsidP="00233C12">
            <w:pPr>
              <w:rPr>
                <w:color w:val="000000" w:themeColor="text1"/>
                <w:sz w:val="16"/>
                <w:szCs w:val="16"/>
              </w:rPr>
            </w:pPr>
            <w:r w:rsidRPr="004C209D">
              <w:rPr>
                <w:color w:val="000000" w:themeColor="text1"/>
                <w:sz w:val="16"/>
                <w:szCs w:val="16"/>
              </w:rPr>
              <w:t>DRC</w:t>
            </w:r>
          </w:p>
        </w:tc>
        <w:tc>
          <w:tcPr>
            <w:tcW w:w="850" w:type="dxa"/>
            <w:tcBorders>
              <w:top w:val="nil"/>
              <w:left w:val="nil"/>
              <w:bottom w:val="single" w:sz="4" w:space="0" w:color="auto"/>
              <w:right w:val="single" w:sz="4" w:space="0" w:color="auto"/>
            </w:tcBorders>
            <w:shd w:val="clear" w:color="auto" w:fill="auto"/>
            <w:hideMark/>
          </w:tcPr>
          <w:p w14:paraId="65CC45A7"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6898F361" w14:textId="77777777" w:rsidR="00E02032" w:rsidRPr="004C209D" w:rsidRDefault="00E02032" w:rsidP="00233C12">
            <w:pPr>
              <w:rPr>
                <w:color w:val="000000" w:themeColor="text1"/>
                <w:sz w:val="16"/>
                <w:szCs w:val="16"/>
              </w:rPr>
            </w:pPr>
            <w:r w:rsidRPr="004C209D">
              <w:rPr>
                <w:color w:val="000000" w:themeColor="text1"/>
                <w:sz w:val="16"/>
                <w:szCs w:val="16"/>
              </w:rPr>
              <w:t>DRC</w:t>
            </w:r>
          </w:p>
        </w:tc>
        <w:tc>
          <w:tcPr>
            <w:tcW w:w="708" w:type="dxa"/>
            <w:tcBorders>
              <w:top w:val="nil"/>
              <w:left w:val="nil"/>
              <w:bottom w:val="single" w:sz="4" w:space="0" w:color="auto"/>
              <w:right w:val="single" w:sz="4" w:space="0" w:color="auto"/>
            </w:tcBorders>
            <w:shd w:val="clear" w:color="auto" w:fill="auto"/>
            <w:hideMark/>
          </w:tcPr>
          <w:p w14:paraId="4EBDB6AA"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5F157D36" w14:textId="77777777" w:rsidR="00E02032" w:rsidRPr="004C209D" w:rsidRDefault="00E02032" w:rsidP="00233C12">
            <w:pPr>
              <w:rPr>
                <w:color w:val="000000" w:themeColor="text1"/>
                <w:sz w:val="16"/>
                <w:szCs w:val="16"/>
              </w:rPr>
            </w:pPr>
            <w:r w:rsidRPr="004C209D">
              <w:rPr>
                <w:color w:val="000000" w:themeColor="text1"/>
                <w:sz w:val="16"/>
                <w:szCs w:val="16"/>
              </w:rPr>
              <w:t>DRC</w:t>
            </w:r>
          </w:p>
        </w:tc>
      </w:tr>
      <w:tr w:rsidR="00E02032" w:rsidRPr="004C209D" w14:paraId="2A7205A4"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5551D00E"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3EA78B05"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3C8D01CE" w14:textId="77777777" w:rsidR="00E02032" w:rsidRPr="004C209D" w:rsidRDefault="00E02032" w:rsidP="00233C12">
            <w:pPr>
              <w:rPr>
                <w:color w:val="000000" w:themeColor="text1"/>
                <w:sz w:val="16"/>
                <w:szCs w:val="16"/>
              </w:rPr>
            </w:pPr>
            <w:r w:rsidRPr="004C209D">
              <w:rPr>
                <w:color w:val="000000" w:themeColor="text1"/>
                <w:sz w:val="16"/>
                <w:szCs w:val="16"/>
              </w:rPr>
              <w:t>BOCARANGA </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14:paraId="088AFE27" w14:textId="77777777" w:rsidR="00E02032" w:rsidRPr="004C209D" w:rsidRDefault="00E02032" w:rsidP="00233C12">
            <w:pPr>
              <w:rPr>
                <w:color w:val="000000" w:themeColor="text1"/>
                <w:sz w:val="16"/>
                <w:szCs w:val="16"/>
              </w:rPr>
            </w:pPr>
            <w:r w:rsidRPr="004C209D">
              <w:rPr>
                <w:color w:val="000000" w:themeColor="text1"/>
                <w:sz w:val="16"/>
                <w:szCs w:val="16"/>
              </w:rPr>
              <w:t>DS. 3.3 Bacaranga-Koui</w:t>
            </w:r>
          </w:p>
        </w:tc>
        <w:tc>
          <w:tcPr>
            <w:tcW w:w="1417" w:type="dxa"/>
            <w:tcBorders>
              <w:top w:val="nil"/>
              <w:left w:val="nil"/>
              <w:bottom w:val="single" w:sz="4" w:space="0" w:color="auto"/>
              <w:right w:val="single" w:sz="4" w:space="0" w:color="auto"/>
            </w:tcBorders>
            <w:shd w:val="clear" w:color="auto" w:fill="auto"/>
            <w:hideMark/>
          </w:tcPr>
          <w:p w14:paraId="5744C820" w14:textId="77777777" w:rsidR="00E02032" w:rsidRPr="003D6384" w:rsidRDefault="00E02032" w:rsidP="00233C12">
            <w:pPr>
              <w:rPr>
                <w:color w:val="000000" w:themeColor="text1"/>
                <w:sz w:val="16"/>
                <w:szCs w:val="16"/>
                <w:lang w:val="da-DK"/>
              </w:rPr>
            </w:pPr>
            <w:r w:rsidRPr="003D6384">
              <w:rPr>
                <w:color w:val="000000" w:themeColor="text1"/>
                <w:sz w:val="16"/>
                <w:szCs w:val="16"/>
                <w:lang w:val="da-DK"/>
              </w:rPr>
              <w:t>WC-UK, IRC, WV, EDEN</w:t>
            </w:r>
          </w:p>
        </w:tc>
        <w:tc>
          <w:tcPr>
            <w:tcW w:w="850" w:type="dxa"/>
            <w:tcBorders>
              <w:top w:val="nil"/>
              <w:left w:val="nil"/>
              <w:bottom w:val="single" w:sz="4" w:space="0" w:color="auto"/>
              <w:right w:val="single" w:sz="4" w:space="0" w:color="auto"/>
            </w:tcBorders>
            <w:shd w:val="clear" w:color="auto" w:fill="auto"/>
            <w:hideMark/>
          </w:tcPr>
          <w:p w14:paraId="04BE690B" w14:textId="77777777" w:rsidR="00E02032" w:rsidRPr="003D6384" w:rsidRDefault="00E02032" w:rsidP="00233C12">
            <w:pPr>
              <w:rPr>
                <w:color w:val="000000" w:themeColor="text1"/>
                <w:sz w:val="16"/>
                <w:szCs w:val="16"/>
                <w:lang w:val="da-DK"/>
              </w:rPr>
            </w:pPr>
            <w:r w:rsidRPr="003D6384">
              <w:rPr>
                <w:color w:val="000000" w:themeColor="text1"/>
                <w:sz w:val="16"/>
                <w:szCs w:val="16"/>
                <w:lang w:val="da-DK"/>
              </w:rPr>
              <w:t> </w:t>
            </w:r>
          </w:p>
        </w:tc>
        <w:tc>
          <w:tcPr>
            <w:tcW w:w="1276" w:type="dxa"/>
            <w:tcBorders>
              <w:top w:val="nil"/>
              <w:left w:val="nil"/>
              <w:bottom w:val="single" w:sz="4" w:space="0" w:color="auto"/>
              <w:right w:val="single" w:sz="4" w:space="0" w:color="auto"/>
            </w:tcBorders>
            <w:shd w:val="clear" w:color="auto" w:fill="auto"/>
            <w:hideMark/>
          </w:tcPr>
          <w:p w14:paraId="17D07050" w14:textId="77777777" w:rsidR="00E02032" w:rsidRPr="004C209D" w:rsidRDefault="00E02032" w:rsidP="00233C12">
            <w:pPr>
              <w:rPr>
                <w:color w:val="000000" w:themeColor="text1"/>
                <w:sz w:val="16"/>
                <w:szCs w:val="16"/>
              </w:rPr>
            </w:pPr>
            <w:r w:rsidRPr="004C209D">
              <w:rPr>
                <w:color w:val="000000" w:themeColor="text1"/>
                <w:sz w:val="16"/>
                <w:szCs w:val="16"/>
              </w:rPr>
              <w:t>WC-UK</w:t>
            </w:r>
          </w:p>
        </w:tc>
        <w:tc>
          <w:tcPr>
            <w:tcW w:w="708" w:type="dxa"/>
            <w:tcBorders>
              <w:top w:val="nil"/>
              <w:left w:val="nil"/>
              <w:bottom w:val="single" w:sz="4" w:space="0" w:color="auto"/>
              <w:right w:val="single" w:sz="4" w:space="0" w:color="auto"/>
            </w:tcBorders>
            <w:shd w:val="clear" w:color="auto" w:fill="auto"/>
            <w:hideMark/>
          </w:tcPr>
          <w:p w14:paraId="32717213"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4532018B" w14:textId="77777777" w:rsidR="00E02032" w:rsidRPr="004C209D" w:rsidRDefault="00E02032" w:rsidP="00233C12">
            <w:pPr>
              <w:rPr>
                <w:color w:val="000000" w:themeColor="text1"/>
                <w:sz w:val="16"/>
                <w:szCs w:val="16"/>
              </w:rPr>
            </w:pPr>
            <w:r w:rsidRPr="004C209D">
              <w:rPr>
                <w:color w:val="000000" w:themeColor="text1"/>
                <w:sz w:val="16"/>
                <w:szCs w:val="16"/>
              </w:rPr>
              <w:t>WC-UK</w:t>
            </w:r>
          </w:p>
        </w:tc>
      </w:tr>
      <w:tr w:rsidR="00E02032" w:rsidRPr="004C209D" w14:paraId="630DD391"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734F3DBD"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420081B5"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287CD4F2" w14:textId="77777777" w:rsidR="00E02032" w:rsidRPr="004C209D" w:rsidRDefault="00E02032" w:rsidP="00233C12">
            <w:pPr>
              <w:rPr>
                <w:color w:val="000000" w:themeColor="text1"/>
                <w:sz w:val="16"/>
                <w:szCs w:val="16"/>
              </w:rPr>
            </w:pPr>
            <w:r w:rsidRPr="004C209D">
              <w:rPr>
                <w:color w:val="000000" w:themeColor="text1"/>
                <w:sz w:val="16"/>
                <w:szCs w:val="16"/>
              </w:rPr>
              <w:t>KOUI </w:t>
            </w:r>
          </w:p>
        </w:tc>
        <w:tc>
          <w:tcPr>
            <w:tcW w:w="1560" w:type="dxa"/>
            <w:vMerge/>
            <w:tcBorders>
              <w:top w:val="nil"/>
              <w:left w:val="single" w:sz="4" w:space="0" w:color="auto"/>
              <w:bottom w:val="single" w:sz="4" w:space="0" w:color="auto"/>
              <w:right w:val="single" w:sz="4" w:space="0" w:color="auto"/>
            </w:tcBorders>
            <w:vAlign w:val="center"/>
            <w:hideMark/>
          </w:tcPr>
          <w:p w14:paraId="580219BC" w14:textId="77777777" w:rsidR="00E02032" w:rsidRPr="004C209D" w:rsidRDefault="00E02032" w:rsidP="00233C12">
            <w:pPr>
              <w:rPr>
                <w:color w:val="000000" w:themeColor="text1"/>
                <w:sz w:val="16"/>
                <w:szCs w:val="16"/>
              </w:rPr>
            </w:pPr>
          </w:p>
        </w:tc>
        <w:tc>
          <w:tcPr>
            <w:tcW w:w="1417" w:type="dxa"/>
            <w:tcBorders>
              <w:top w:val="nil"/>
              <w:left w:val="nil"/>
              <w:bottom w:val="single" w:sz="4" w:space="0" w:color="auto"/>
              <w:right w:val="single" w:sz="4" w:space="0" w:color="auto"/>
            </w:tcBorders>
            <w:shd w:val="clear" w:color="auto" w:fill="auto"/>
            <w:hideMark/>
          </w:tcPr>
          <w:p w14:paraId="63A2289F" w14:textId="77777777" w:rsidR="00E02032" w:rsidRPr="004C209D" w:rsidRDefault="00E02032" w:rsidP="00233C12">
            <w:pPr>
              <w:rPr>
                <w:color w:val="000000" w:themeColor="text1"/>
                <w:sz w:val="16"/>
                <w:szCs w:val="16"/>
              </w:rPr>
            </w:pPr>
            <w:r w:rsidRPr="004C209D">
              <w:rPr>
                <w:color w:val="000000" w:themeColor="text1"/>
                <w:sz w:val="16"/>
                <w:szCs w:val="16"/>
              </w:rPr>
              <w:t xml:space="preserve">WC-UK, IRC </w:t>
            </w:r>
          </w:p>
        </w:tc>
        <w:tc>
          <w:tcPr>
            <w:tcW w:w="850" w:type="dxa"/>
            <w:tcBorders>
              <w:top w:val="nil"/>
              <w:left w:val="nil"/>
              <w:bottom w:val="single" w:sz="4" w:space="0" w:color="auto"/>
              <w:right w:val="single" w:sz="4" w:space="0" w:color="auto"/>
            </w:tcBorders>
            <w:shd w:val="clear" w:color="auto" w:fill="auto"/>
            <w:hideMark/>
          </w:tcPr>
          <w:p w14:paraId="5EFD481B"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35C426AD" w14:textId="77777777" w:rsidR="00E02032" w:rsidRPr="004C209D" w:rsidRDefault="00E02032" w:rsidP="00233C12">
            <w:pPr>
              <w:rPr>
                <w:color w:val="000000" w:themeColor="text1"/>
                <w:sz w:val="16"/>
                <w:szCs w:val="16"/>
              </w:rPr>
            </w:pPr>
            <w:r w:rsidRPr="004C209D">
              <w:rPr>
                <w:color w:val="000000" w:themeColor="text1"/>
                <w:sz w:val="16"/>
                <w:szCs w:val="16"/>
              </w:rPr>
              <w:t>WC-UK, IRC</w:t>
            </w:r>
          </w:p>
        </w:tc>
        <w:tc>
          <w:tcPr>
            <w:tcW w:w="708" w:type="dxa"/>
            <w:tcBorders>
              <w:top w:val="nil"/>
              <w:left w:val="nil"/>
              <w:bottom w:val="single" w:sz="4" w:space="0" w:color="auto"/>
              <w:right w:val="single" w:sz="4" w:space="0" w:color="auto"/>
            </w:tcBorders>
            <w:shd w:val="clear" w:color="auto" w:fill="auto"/>
            <w:hideMark/>
          </w:tcPr>
          <w:p w14:paraId="410C7FC8"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178EF9B2" w14:textId="77777777" w:rsidR="00E02032" w:rsidRPr="004C209D" w:rsidRDefault="00E02032" w:rsidP="00233C12">
            <w:pPr>
              <w:rPr>
                <w:color w:val="000000" w:themeColor="text1"/>
                <w:sz w:val="16"/>
                <w:szCs w:val="16"/>
              </w:rPr>
            </w:pPr>
            <w:r w:rsidRPr="004C209D">
              <w:rPr>
                <w:color w:val="000000" w:themeColor="text1"/>
                <w:sz w:val="16"/>
                <w:szCs w:val="16"/>
              </w:rPr>
              <w:t>WC-UK, IRC</w:t>
            </w:r>
          </w:p>
        </w:tc>
      </w:tr>
      <w:tr w:rsidR="00E02032" w:rsidRPr="004C209D" w14:paraId="7D7CC382"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247A3A78"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0021CA71"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2B5FF10C" w14:textId="77777777" w:rsidR="00E02032" w:rsidRPr="004C209D" w:rsidRDefault="00E02032" w:rsidP="00233C12">
            <w:pPr>
              <w:rPr>
                <w:color w:val="000000" w:themeColor="text1"/>
                <w:sz w:val="16"/>
                <w:szCs w:val="16"/>
              </w:rPr>
            </w:pPr>
            <w:r w:rsidRPr="004C209D">
              <w:rPr>
                <w:color w:val="000000" w:themeColor="text1"/>
                <w:sz w:val="16"/>
                <w:szCs w:val="16"/>
              </w:rPr>
              <w:t>NGAOUNDAYE </w:t>
            </w:r>
          </w:p>
        </w:tc>
        <w:tc>
          <w:tcPr>
            <w:tcW w:w="1560" w:type="dxa"/>
            <w:tcBorders>
              <w:top w:val="nil"/>
              <w:left w:val="nil"/>
              <w:bottom w:val="single" w:sz="4" w:space="0" w:color="auto"/>
              <w:right w:val="single" w:sz="4" w:space="0" w:color="auto"/>
            </w:tcBorders>
            <w:shd w:val="clear" w:color="auto" w:fill="auto"/>
            <w:hideMark/>
          </w:tcPr>
          <w:p w14:paraId="1AAF2258" w14:textId="77777777" w:rsidR="00E02032" w:rsidRPr="004C209D" w:rsidRDefault="00E02032" w:rsidP="00233C12">
            <w:pPr>
              <w:rPr>
                <w:color w:val="000000" w:themeColor="text1"/>
                <w:sz w:val="16"/>
                <w:szCs w:val="16"/>
              </w:rPr>
            </w:pPr>
            <w:r w:rsidRPr="004C209D">
              <w:rPr>
                <w:color w:val="000000" w:themeColor="text1"/>
                <w:sz w:val="16"/>
                <w:szCs w:val="16"/>
              </w:rPr>
              <w:t>DS. 3.4 Ngaoundaye</w:t>
            </w:r>
          </w:p>
        </w:tc>
        <w:tc>
          <w:tcPr>
            <w:tcW w:w="1417" w:type="dxa"/>
            <w:tcBorders>
              <w:top w:val="nil"/>
              <w:left w:val="nil"/>
              <w:bottom w:val="single" w:sz="4" w:space="0" w:color="auto"/>
              <w:right w:val="single" w:sz="4" w:space="0" w:color="auto"/>
            </w:tcBorders>
            <w:shd w:val="clear" w:color="auto" w:fill="auto"/>
            <w:hideMark/>
          </w:tcPr>
          <w:p w14:paraId="4BC548AF" w14:textId="77777777" w:rsidR="00E02032" w:rsidRPr="004C209D" w:rsidRDefault="00E02032" w:rsidP="00233C12">
            <w:pPr>
              <w:rPr>
                <w:color w:val="000000" w:themeColor="text1"/>
                <w:sz w:val="16"/>
                <w:szCs w:val="16"/>
              </w:rPr>
            </w:pPr>
            <w:r w:rsidRPr="004C209D">
              <w:rPr>
                <w:color w:val="000000" w:themeColor="text1"/>
                <w:sz w:val="16"/>
                <w:szCs w:val="16"/>
              </w:rPr>
              <w:t>OXFAM, WC-UK, IRC</w:t>
            </w:r>
          </w:p>
        </w:tc>
        <w:tc>
          <w:tcPr>
            <w:tcW w:w="850" w:type="dxa"/>
            <w:tcBorders>
              <w:top w:val="nil"/>
              <w:left w:val="nil"/>
              <w:bottom w:val="single" w:sz="4" w:space="0" w:color="auto"/>
              <w:right w:val="single" w:sz="4" w:space="0" w:color="auto"/>
            </w:tcBorders>
            <w:shd w:val="clear" w:color="auto" w:fill="auto"/>
            <w:hideMark/>
          </w:tcPr>
          <w:p w14:paraId="6A823CAF"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215F00FC" w14:textId="77777777" w:rsidR="00E02032" w:rsidRPr="004C209D" w:rsidRDefault="00E02032" w:rsidP="00233C12">
            <w:pPr>
              <w:rPr>
                <w:color w:val="000000" w:themeColor="text1"/>
                <w:sz w:val="16"/>
                <w:szCs w:val="16"/>
              </w:rPr>
            </w:pPr>
            <w:r w:rsidRPr="004C209D">
              <w:rPr>
                <w:color w:val="000000" w:themeColor="text1"/>
                <w:sz w:val="16"/>
                <w:szCs w:val="16"/>
              </w:rPr>
              <w:t>WC-UK, IRC</w:t>
            </w:r>
          </w:p>
        </w:tc>
        <w:tc>
          <w:tcPr>
            <w:tcW w:w="708" w:type="dxa"/>
            <w:tcBorders>
              <w:top w:val="nil"/>
              <w:left w:val="nil"/>
              <w:bottom w:val="single" w:sz="4" w:space="0" w:color="auto"/>
              <w:right w:val="single" w:sz="4" w:space="0" w:color="auto"/>
            </w:tcBorders>
            <w:shd w:val="clear" w:color="auto" w:fill="auto"/>
            <w:hideMark/>
          </w:tcPr>
          <w:p w14:paraId="54B57D3E"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5192881E" w14:textId="77777777" w:rsidR="00E02032" w:rsidRPr="004C209D" w:rsidRDefault="00E02032" w:rsidP="00233C12">
            <w:pPr>
              <w:rPr>
                <w:color w:val="000000" w:themeColor="text1"/>
                <w:sz w:val="16"/>
                <w:szCs w:val="16"/>
              </w:rPr>
            </w:pPr>
            <w:r w:rsidRPr="004C209D">
              <w:rPr>
                <w:color w:val="000000" w:themeColor="text1"/>
                <w:sz w:val="16"/>
                <w:szCs w:val="16"/>
              </w:rPr>
              <w:t>WC-UK, IRC</w:t>
            </w:r>
          </w:p>
        </w:tc>
      </w:tr>
      <w:tr w:rsidR="00E02032" w:rsidRPr="004C209D" w14:paraId="5628C549"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36653F8C" w14:textId="77777777" w:rsidR="00E02032" w:rsidRPr="004C209D" w:rsidRDefault="00E02032" w:rsidP="00233C12">
            <w:pPr>
              <w:rPr>
                <w:b/>
                <w:bCs/>
                <w:color w:val="000000"/>
                <w:sz w:val="16"/>
                <w:szCs w:val="16"/>
              </w:rPr>
            </w:pP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6543B84C" w14:textId="77777777" w:rsidR="00E02032" w:rsidRPr="004C209D" w:rsidRDefault="00E02032" w:rsidP="00233C12">
            <w:pPr>
              <w:rPr>
                <w:color w:val="000000" w:themeColor="text1"/>
                <w:sz w:val="16"/>
                <w:szCs w:val="16"/>
              </w:rPr>
            </w:pPr>
            <w:r w:rsidRPr="004C209D">
              <w:rPr>
                <w:color w:val="000000" w:themeColor="text1"/>
                <w:sz w:val="16"/>
                <w:szCs w:val="16"/>
              </w:rPr>
              <w:t>OUHAM </w:t>
            </w:r>
          </w:p>
        </w:tc>
        <w:tc>
          <w:tcPr>
            <w:tcW w:w="1418" w:type="dxa"/>
            <w:tcBorders>
              <w:top w:val="nil"/>
              <w:left w:val="nil"/>
              <w:bottom w:val="single" w:sz="4" w:space="0" w:color="auto"/>
              <w:right w:val="single" w:sz="4" w:space="0" w:color="auto"/>
            </w:tcBorders>
            <w:shd w:val="clear" w:color="auto" w:fill="auto"/>
            <w:hideMark/>
          </w:tcPr>
          <w:p w14:paraId="72021EA9" w14:textId="77777777" w:rsidR="00E02032" w:rsidRPr="004C209D" w:rsidRDefault="00E02032" w:rsidP="00233C12">
            <w:pPr>
              <w:rPr>
                <w:color w:val="000000" w:themeColor="text1"/>
                <w:sz w:val="16"/>
                <w:szCs w:val="16"/>
              </w:rPr>
            </w:pPr>
            <w:r w:rsidRPr="004C209D">
              <w:rPr>
                <w:color w:val="000000" w:themeColor="text1"/>
                <w:sz w:val="16"/>
                <w:szCs w:val="16"/>
              </w:rPr>
              <w:t>BOSSANGOA </w:t>
            </w:r>
          </w:p>
        </w:tc>
        <w:tc>
          <w:tcPr>
            <w:tcW w:w="1560" w:type="dxa"/>
            <w:tcBorders>
              <w:top w:val="nil"/>
              <w:left w:val="nil"/>
              <w:bottom w:val="single" w:sz="4" w:space="0" w:color="auto"/>
              <w:right w:val="single" w:sz="4" w:space="0" w:color="auto"/>
            </w:tcBorders>
            <w:shd w:val="clear" w:color="auto" w:fill="auto"/>
            <w:hideMark/>
          </w:tcPr>
          <w:p w14:paraId="565F3E8B" w14:textId="77777777" w:rsidR="00E02032" w:rsidRPr="004C209D" w:rsidRDefault="00E02032" w:rsidP="00233C12">
            <w:pPr>
              <w:rPr>
                <w:color w:val="000000" w:themeColor="text1"/>
                <w:sz w:val="16"/>
                <w:szCs w:val="16"/>
              </w:rPr>
            </w:pPr>
            <w:r w:rsidRPr="004C209D">
              <w:rPr>
                <w:color w:val="000000" w:themeColor="text1"/>
                <w:sz w:val="16"/>
                <w:szCs w:val="16"/>
              </w:rPr>
              <w:t>DS. 3.5 Bossangoa</w:t>
            </w:r>
          </w:p>
        </w:tc>
        <w:tc>
          <w:tcPr>
            <w:tcW w:w="1417" w:type="dxa"/>
            <w:tcBorders>
              <w:top w:val="nil"/>
              <w:left w:val="nil"/>
              <w:bottom w:val="single" w:sz="4" w:space="0" w:color="auto"/>
              <w:right w:val="single" w:sz="4" w:space="0" w:color="auto"/>
            </w:tcBorders>
            <w:shd w:val="clear" w:color="auto" w:fill="auto"/>
            <w:hideMark/>
          </w:tcPr>
          <w:p w14:paraId="1EEF2BCC" w14:textId="77777777" w:rsidR="00E02032" w:rsidRPr="004C209D" w:rsidRDefault="00E02032" w:rsidP="00233C12">
            <w:pPr>
              <w:rPr>
                <w:color w:val="000000" w:themeColor="text1"/>
                <w:sz w:val="16"/>
                <w:szCs w:val="16"/>
              </w:rPr>
            </w:pPr>
            <w:r w:rsidRPr="004C209D">
              <w:rPr>
                <w:color w:val="000000" w:themeColor="text1"/>
                <w:sz w:val="16"/>
                <w:szCs w:val="16"/>
              </w:rPr>
              <w:t>WC-UK</w:t>
            </w:r>
          </w:p>
        </w:tc>
        <w:tc>
          <w:tcPr>
            <w:tcW w:w="850" w:type="dxa"/>
            <w:tcBorders>
              <w:top w:val="nil"/>
              <w:left w:val="nil"/>
              <w:bottom w:val="single" w:sz="4" w:space="0" w:color="auto"/>
              <w:right w:val="single" w:sz="4" w:space="0" w:color="auto"/>
            </w:tcBorders>
            <w:shd w:val="clear" w:color="auto" w:fill="auto"/>
            <w:hideMark/>
          </w:tcPr>
          <w:p w14:paraId="586FE7A8" w14:textId="77777777" w:rsidR="00E02032" w:rsidRPr="004C209D" w:rsidRDefault="00E02032" w:rsidP="00233C12">
            <w:pPr>
              <w:rPr>
                <w:color w:val="000000" w:themeColor="text1"/>
                <w:sz w:val="16"/>
                <w:szCs w:val="16"/>
              </w:rPr>
            </w:pPr>
            <w:r w:rsidRPr="004C209D">
              <w:rPr>
                <w:color w:val="000000" w:themeColor="text1"/>
                <w:sz w:val="16"/>
                <w:szCs w:val="16"/>
              </w:rPr>
              <w:t>MSF-F</w:t>
            </w:r>
          </w:p>
        </w:tc>
        <w:tc>
          <w:tcPr>
            <w:tcW w:w="1276" w:type="dxa"/>
            <w:tcBorders>
              <w:top w:val="nil"/>
              <w:left w:val="nil"/>
              <w:bottom w:val="single" w:sz="4" w:space="0" w:color="auto"/>
              <w:right w:val="single" w:sz="4" w:space="0" w:color="auto"/>
            </w:tcBorders>
            <w:shd w:val="clear" w:color="auto" w:fill="auto"/>
            <w:hideMark/>
          </w:tcPr>
          <w:p w14:paraId="5816FADC" w14:textId="77777777" w:rsidR="00E02032" w:rsidRPr="004C209D" w:rsidRDefault="00E02032" w:rsidP="00233C12">
            <w:pPr>
              <w:rPr>
                <w:color w:val="000000" w:themeColor="text1"/>
                <w:sz w:val="16"/>
                <w:szCs w:val="16"/>
              </w:rPr>
            </w:pPr>
            <w:r w:rsidRPr="004C209D">
              <w:rPr>
                <w:color w:val="000000" w:themeColor="text1"/>
                <w:sz w:val="16"/>
                <w:szCs w:val="16"/>
              </w:rPr>
              <w:t>WC-UK, MSF-F</w:t>
            </w:r>
          </w:p>
        </w:tc>
        <w:tc>
          <w:tcPr>
            <w:tcW w:w="708" w:type="dxa"/>
            <w:tcBorders>
              <w:top w:val="nil"/>
              <w:left w:val="nil"/>
              <w:bottom w:val="single" w:sz="4" w:space="0" w:color="auto"/>
              <w:right w:val="single" w:sz="4" w:space="0" w:color="auto"/>
            </w:tcBorders>
            <w:shd w:val="clear" w:color="auto" w:fill="auto"/>
            <w:hideMark/>
          </w:tcPr>
          <w:p w14:paraId="04A2BA2B"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71CCBAD7" w14:textId="77777777" w:rsidR="00E02032" w:rsidRPr="004C209D" w:rsidRDefault="00E02032" w:rsidP="00233C12">
            <w:pPr>
              <w:rPr>
                <w:color w:val="000000" w:themeColor="text1"/>
                <w:sz w:val="16"/>
                <w:szCs w:val="16"/>
              </w:rPr>
            </w:pPr>
            <w:r w:rsidRPr="004C209D">
              <w:rPr>
                <w:color w:val="000000" w:themeColor="text1"/>
                <w:sz w:val="16"/>
                <w:szCs w:val="16"/>
              </w:rPr>
              <w:t xml:space="preserve">WC-UK </w:t>
            </w:r>
          </w:p>
        </w:tc>
      </w:tr>
      <w:tr w:rsidR="00E02032" w:rsidRPr="004C209D" w14:paraId="6E6BADDA"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75257308"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38BB013A"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792AE9B4" w14:textId="77777777" w:rsidR="00E02032" w:rsidRPr="004C209D" w:rsidRDefault="00E02032" w:rsidP="00233C12">
            <w:pPr>
              <w:rPr>
                <w:color w:val="000000" w:themeColor="text1"/>
                <w:sz w:val="16"/>
                <w:szCs w:val="16"/>
              </w:rPr>
            </w:pPr>
            <w:r w:rsidRPr="004C209D">
              <w:rPr>
                <w:color w:val="000000" w:themeColor="text1"/>
                <w:sz w:val="16"/>
                <w:szCs w:val="16"/>
              </w:rPr>
              <w:t>NANA-BAKASSA </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14:paraId="7E54A436" w14:textId="77777777" w:rsidR="00E02032" w:rsidRPr="004C209D" w:rsidRDefault="00E02032" w:rsidP="00233C12">
            <w:pPr>
              <w:rPr>
                <w:color w:val="000000" w:themeColor="text1"/>
                <w:sz w:val="16"/>
                <w:szCs w:val="16"/>
              </w:rPr>
            </w:pPr>
            <w:r w:rsidRPr="004C209D">
              <w:rPr>
                <w:color w:val="000000" w:themeColor="text1"/>
                <w:sz w:val="16"/>
                <w:szCs w:val="16"/>
              </w:rPr>
              <w:t>DS. 3.6 Nanga-Boguila</w:t>
            </w:r>
          </w:p>
        </w:tc>
        <w:tc>
          <w:tcPr>
            <w:tcW w:w="1417" w:type="dxa"/>
            <w:tcBorders>
              <w:top w:val="nil"/>
              <w:left w:val="nil"/>
              <w:bottom w:val="single" w:sz="4" w:space="0" w:color="auto"/>
              <w:right w:val="single" w:sz="4" w:space="0" w:color="auto"/>
            </w:tcBorders>
            <w:shd w:val="clear" w:color="auto" w:fill="auto"/>
            <w:hideMark/>
          </w:tcPr>
          <w:p w14:paraId="102C9558"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850" w:type="dxa"/>
            <w:tcBorders>
              <w:top w:val="nil"/>
              <w:left w:val="nil"/>
              <w:bottom w:val="single" w:sz="4" w:space="0" w:color="auto"/>
              <w:right w:val="single" w:sz="4" w:space="0" w:color="auto"/>
            </w:tcBorders>
            <w:shd w:val="clear" w:color="auto" w:fill="auto"/>
            <w:hideMark/>
          </w:tcPr>
          <w:p w14:paraId="196A0FD6"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14EE476E"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708" w:type="dxa"/>
            <w:tcBorders>
              <w:top w:val="nil"/>
              <w:left w:val="nil"/>
              <w:bottom w:val="single" w:sz="4" w:space="0" w:color="auto"/>
              <w:right w:val="single" w:sz="4" w:space="0" w:color="auto"/>
            </w:tcBorders>
            <w:shd w:val="clear" w:color="auto" w:fill="auto"/>
            <w:hideMark/>
          </w:tcPr>
          <w:p w14:paraId="143713C4"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1FFE00A6" w14:textId="77777777" w:rsidR="00E02032" w:rsidRPr="004C209D" w:rsidRDefault="00E02032" w:rsidP="00233C12">
            <w:pPr>
              <w:rPr>
                <w:color w:val="000000" w:themeColor="text1"/>
                <w:sz w:val="16"/>
                <w:szCs w:val="16"/>
              </w:rPr>
            </w:pPr>
            <w:r w:rsidRPr="004C209D">
              <w:rPr>
                <w:color w:val="000000" w:themeColor="text1"/>
                <w:sz w:val="16"/>
                <w:szCs w:val="16"/>
              </w:rPr>
              <w:t> </w:t>
            </w:r>
          </w:p>
        </w:tc>
      </w:tr>
      <w:tr w:rsidR="00E02032" w:rsidRPr="004C209D" w14:paraId="75508999"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33F98453"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06562F02"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335624D0" w14:textId="77777777" w:rsidR="00E02032" w:rsidRPr="004C209D" w:rsidRDefault="00E02032" w:rsidP="00233C12">
            <w:pPr>
              <w:rPr>
                <w:color w:val="000000" w:themeColor="text1"/>
                <w:sz w:val="16"/>
                <w:szCs w:val="16"/>
              </w:rPr>
            </w:pPr>
            <w:r w:rsidRPr="004C209D">
              <w:rPr>
                <w:color w:val="000000" w:themeColor="text1"/>
                <w:sz w:val="16"/>
                <w:szCs w:val="16"/>
              </w:rPr>
              <w:t>NANGA-BOGUILA</w:t>
            </w:r>
          </w:p>
        </w:tc>
        <w:tc>
          <w:tcPr>
            <w:tcW w:w="1560" w:type="dxa"/>
            <w:vMerge/>
            <w:tcBorders>
              <w:top w:val="nil"/>
              <w:left w:val="single" w:sz="4" w:space="0" w:color="auto"/>
              <w:bottom w:val="single" w:sz="4" w:space="0" w:color="auto"/>
              <w:right w:val="single" w:sz="4" w:space="0" w:color="auto"/>
            </w:tcBorders>
            <w:vAlign w:val="center"/>
            <w:hideMark/>
          </w:tcPr>
          <w:p w14:paraId="0ACF052D" w14:textId="77777777" w:rsidR="00E02032" w:rsidRPr="004C209D" w:rsidRDefault="00E02032" w:rsidP="00233C12">
            <w:pPr>
              <w:rPr>
                <w:color w:val="000000" w:themeColor="text1"/>
                <w:sz w:val="16"/>
                <w:szCs w:val="16"/>
              </w:rPr>
            </w:pPr>
          </w:p>
        </w:tc>
        <w:tc>
          <w:tcPr>
            <w:tcW w:w="1417" w:type="dxa"/>
            <w:tcBorders>
              <w:top w:val="nil"/>
              <w:left w:val="nil"/>
              <w:bottom w:val="single" w:sz="4" w:space="0" w:color="auto"/>
              <w:right w:val="single" w:sz="4" w:space="0" w:color="auto"/>
            </w:tcBorders>
            <w:shd w:val="clear" w:color="auto" w:fill="auto"/>
            <w:hideMark/>
          </w:tcPr>
          <w:p w14:paraId="43063902"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850" w:type="dxa"/>
            <w:tcBorders>
              <w:top w:val="nil"/>
              <w:left w:val="nil"/>
              <w:bottom w:val="single" w:sz="4" w:space="0" w:color="auto"/>
              <w:right w:val="single" w:sz="4" w:space="0" w:color="auto"/>
            </w:tcBorders>
            <w:shd w:val="clear" w:color="auto" w:fill="auto"/>
            <w:hideMark/>
          </w:tcPr>
          <w:p w14:paraId="60C5DB44"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21799BDE"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708" w:type="dxa"/>
            <w:tcBorders>
              <w:top w:val="nil"/>
              <w:left w:val="nil"/>
              <w:bottom w:val="single" w:sz="4" w:space="0" w:color="auto"/>
              <w:right w:val="single" w:sz="4" w:space="0" w:color="auto"/>
            </w:tcBorders>
            <w:shd w:val="clear" w:color="auto" w:fill="auto"/>
            <w:hideMark/>
          </w:tcPr>
          <w:p w14:paraId="515D5728"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04E58CA0" w14:textId="77777777" w:rsidR="00E02032" w:rsidRPr="004C209D" w:rsidRDefault="00E02032" w:rsidP="00233C12">
            <w:pPr>
              <w:rPr>
                <w:color w:val="000000" w:themeColor="text1"/>
                <w:sz w:val="16"/>
                <w:szCs w:val="16"/>
              </w:rPr>
            </w:pPr>
            <w:r w:rsidRPr="004C209D">
              <w:rPr>
                <w:color w:val="000000" w:themeColor="text1"/>
                <w:sz w:val="16"/>
                <w:szCs w:val="16"/>
              </w:rPr>
              <w:t> </w:t>
            </w:r>
          </w:p>
        </w:tc>
      </w:tr>
      <w:tr w:rsidR="00E02032" w:rsidRPr="004C209D" w14:paraId="6772B498"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2DBBAA9E"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138D48F1"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2E33FB5A" w14:textId="77777777" w:rsidR="00E02032" w:rsidRPr="004C209D" w:rsidRDefault="00E02032" w:rsidP="00233C12">
            <w:pPr>
              <w:rPr>
                <w:color w:val="000000" w:themeColor="text1"/>
                <w:sz w:val="16"/>
                <w:szCs w:val="16"/>
              </w:rPr>
            </w:pPr>
            <w:r w:rsidRPr="004C209D">
              <w:rPr>
                <w:color w:val="000000" w:themeColor="text1"/>
                <w:sz w:val="16"/>
                <w:szCs w:val="16"/>
              </w:rPr>
              <w:t>MARKOUNDA</w:t>
            </w:r>
          </w:p>
        </w:tc>
        <w:tc>
          <w:tcPr>
            <w:tcW w:w="1560" w:type="dxa"/>
            <w:vMerge/>
            <w:tcBorders>
              <w:top w:val="nil"/>
              <w:left w:val="single" w:sz="4" w:space="0" w:color="auto"/>
              <w:bottom w:val="single" w:sz="4" w:space="0" w:color="auto"/>
              <w:right w:val="single" w:sz="4" w:space="0" w:color="auto"/>
            </w:tcBorders>
            <w:vAlign w:val="center"/>
            <w:hideMark/>
          </w:tcPr>
          <w:p w14:paraId="1B3E6F35" w14:textId="77777777" w:rsidR="00E02032" w:rsidRPr="004C209D" w:rsidRDefault="00E02032" w:rsidP="00233C12">
            <w:pPr>
              <w:rPr>
                <w:color w:val="000000" w:themeColor="text1"/>
                <w:sz w:val="16"/>
                <w:szCs w:val="16"/>
              </w:rPr>
            </w:pPr>
          </w:p>
        </w:tc>
        <w:tc>
          <w:tcPr>
            <w:tcW w:w="1417" w:type="dxa"/>
            <w:tcBorders>
              <w:top w:val="nil"/>
              <w:left w:val="nil"/>
              <w:bottom w:val="single" w:sz="4" w:space="0" w:color="auto"/>
              <w:right w:val="single" w:sz="4" w:space="0" w:color="auto"/>
            </w:tcBorders>
            <w:shd w:val="clear" w:color="auto" w:fill="auto"/>
            <w:hideMark/>
          </w:tcPr>
          <w:p w14:paraId="453D10FB" w14:textId="77777777" w:rsidR="00E02032" w:rsidRPr="004C209D" w:rsidRDefault="00E02032" w:rsidP="00233C12">
            <w:pPr>
              <w:rPr>
                <w:color w:val="000000" w:themeColor="text1"/>
                <w:sz w:val="16"/>
                <w:szCs w:val="16"/>
              </w:rPr>
            </w:pPr>
            <w:r w:rsidRPr="004C209D">
              <w:rPr>
                <w:color w:val="000000" w:themeColor="text1"/>
                <w:sz w:val="16"/>
                <w:szCs w:val="16"/>
              </w:rPr>
              <w:t>INTERSOS, MSF-S</w:t>
            </w:r>
          </w:p>
        </w:tc>
        <w:tc>
          <w:tcPr>
            <w:tcW w:w="850" w:type="dxa"/>
            <w:tcBorders>
              <w:top w:val="nil"/>
              <w:left w:val="nil"/>
              <w:bottom w:val="single" w:sz="4" w:space="0" w:color="auto"/>
              <w:right w:val="single" w:sz="4" w:space="0" w:color="auto"/>
            </w:tcBorders>
            <w:shd w:val="clear" w:color="auto" w:fill="auto"/>
            <w:hideMark/>
          </w:tcPr>
          <w:p w14:paraId="52C14706" w14:textId="77777777" w:rsidR="00E02032" w:rsidRPr="004C209D" w:rsidRDefault="00E02032" w:rsidP="00233C12">
            <w:pPr>
              <w:rPr>
                <w:color w:val="000000" w:themeColor="text1"/>
                <w:sz w:val="16"/>
                <w:szCs w:val="16"/>
              </w:rPr>
            </w:pPr>
            <w:r w:rsidRPr="004C209D">
              <w:rPr>
                <w:color w:val="000000" w:themeColor="text1"/>
                <w:sz w:val="16"/>
                <w:szCs w:val="16"/>
              </w:rPr>
              <w:t>MSF-S</w:t>
            </w:r>
          </w:p>
        </w:tc>
        <w:tc>
          <w:tcPr>
            <w:tcW w:w="1276" w:type="dxa"/>
            <w:tcBorders>
              <w:top w:val="nil"/>
              <w:left w:val="nil"/>
              <w:bottom w:val="single" w:sz="4" w:space="0" w:color="auto"/>
              <w:right w:val="single" w:sz="4" w:space="0" w:color="auto"/>
            </w:tcBorders>
            <w:shd w:val="clear" w:color="auto" w:fill="auto"/>
            <w:hideMark/>
          </w:tcPr>
          <w:p w14:paraId="5BCE82DA" w14:textId="77777777" w:rsidR="00E02032" w:rsidRPr="004C209D" w:rsidRDefault="00E02032" w:rsidP="00233C12">
            <w:pPr>
              <w:rPr>
                <w:color w:val="000000" w:themeColor="text1"/>
                <w:sz w:val="16"/>
                <w:szCs w:val="16"/>
              </w:rPr>
            </w:pPr>
            <w:r w:rsidRPr="004C209D">
              <w:rPr>
                <w:color w:val="000000" w:themeColor="text1"/>
                <w:sz w:val="16"/>
                <w:szCs w:val="16"/>
              </w:rPr>
              <w:t>INTERSOS, MSF-S</w:t>
            </w:r>
          </w:p>
        </w:tc>
        <w:tc>
          <w:tcPr>
            <w:tcW w:w="708" w:type="dxa"/>
            <w:tcBorders>
              <w:top w:val="nil"/>
              <w:left w:val="nil"/>
              <w:bottom w:val="single" w:sz="4" w:space="0" w:color="auto"/>
              <w:right w:val="single" w:sz="4" w:space="0" w:color="auto"/>
            </w:tcBorders>
            <w:shd w:val="clear" w:color="auto" w:fill="auto"/>
            <w:hideMark/>
          </w:tcPr>
          <w:p w14:paraId="1C7EBE96"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45624EB8" w14:textId="77777777" w:rsidR="00E02032" w:rsidRPr="004C209D" w:rsidRDefault="00E02032" w:rsidP="00233C12">
            <w:pPr>
              <w:rPr>
                <w:color w:val="000000" w:themeColor="text1"/>
                <w:sz w:val="16"/>
                <w:szCs w:val="16"/>
              </w:rPr>
            </w:pPr>
            <w:r w:rsidRPr="004C209D">
              <w:rPr>
                <w:color w:val="000000" w:themeColor="text1"/>
                <w:sz w:val="16"/>
                <w:szCs w:val="16"/>
              </w:rPr>
              <w:t>INTERSOS</w:t>
            </w:r>
          </w:p>
        </w:tc>
      </w:tr>
      <w:tr w:rsidR="00E02032" w:rsidRPr="004C209D" w14:paraId="16109C37"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36871D8F"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7885D7D4"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41B5DAE6" w14:textId="77777777" w:rsidR="00E02032" w:rsidRPr="004C209D" w:rsidRDefault="00E02032" w:rsidP="00233C12">
            <w:pPr>
              <w:rPr>
                <w:color w:val="000000" w:themeColor="text1"/>
                <w:sz w:val="16"/>
                <w:szCs w:val="16"/>
              </w:rPr>
            </w:pPr>
            <w:r w:rsidRPr="004C209D">
              <w:rPr>
                <w:color w:val="000000" w:themeColor="text1"/>
                <w:sz w:val="16"/>
                <w:szCs w:val="16"/>
              </w:rPr>
              <w:t>BATANGAFO </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14:paraId="789B7F32" w14:textId="77777777" w:rsidR="00E02032" w:rsidRPr="004C209D" w:rsidRDefault="00E02032" w:rsidP="00233C12">
            <w:pPr>
              <w:rPr>
                <w:color w:val="000000" w:themeColor="text1"/>
                <w:sz w:val="16"/>
                <w:szCs w:val="16"/>
              </w:rPr>
            </w:pPr>
            <w:r w:rsidRPr="004C209D">
              <w:rPr>
                <w:color w:val="000000" w:themeColor="text1"/>
                <w:sz w:val="16"/>
                <w:szCs w:val="16"/>
              </w:rPr>
              <w:t>DS. 3.7 Batangafo</w:t>
            </w:r>
          </w:p>
        </w:tc>
        <w:tc>
          <w:tcPr>
            <w:tcW w:w="1417" w:type="dxa"/>
            <w:tcBorders>
              <w:top w:val="nil"/>
              <w:left w:val="nil"/>
              <w:bottom w:val="single" w:sz="4" w:space="0" w:color="auto"/>
              <w:right w:val="single" w:sz="4" w:space="0" w:color="auto"/>
            </w:tcBorders>
            <w:shd w:val="clear" w:color="auto" w:fill="auto"/>
            <w:hideMark/>
          </w:tcPr>
          <w:p w14:paraId="006B929C" w14:textId="77777777" w:rsidR="00E02032" w:rsidRPr="004C209D" w:rsidRDefault="00E02032" w:rsidP="00233C12">
            <w:pPr>
              <w:rPr>
                <w:color w:val="000000" w:themeColor="text1"/>
                <w:sz w:val="16"/>
                <w:szCs w:val="16"/>
              </w:rPr>
            </w:pPr>
            <w:r w:rsidRPr="004C209D">
              <w:rPr>
                <w:color w:val="000000" w:themeColor="text1"/>
                <w:sz w:val="16"/>
                <w:szCs w:val="16"/>
              </w:rPr>
              <w:t>OXFAM, WV</w:t>
            </w:r>
          </w:p>
        </w:tc>
        <w:tc>
          <w:tcPr>
            <w:tcW w:w="850" w:type="dxa"/>
            <w:tcBorders>
              <w:top w:val="nil"/>
              <w:left w:val="nil"/>
              <w:bottom w:val="single" w:sz="4" w:space="0" w:color="auto"/>
              <w:right w:val="single" w:sz="4" w:space="0" w:color="auto"/>
            </w:tcBorders>
            <w:shd w:val="clear" w:color="auto" w:fill="auto"/>
            <w:hideMark/>
          </w:tcPr>
          <w:p w14:paraId="39E41E73"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7F70E8F5"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708" w:type="dxa"/>
            <w:tcBorders>
              <w:top w:val="nil"/>
              <w:left w:val="nil"/>
              <w:bottom w:val="single" w:sz="4" w:space="0" w:color="auto"/>
              <w:right w:val="single" w:sz="4" w:space="0" w:color="auto"/>
            </w:tcBorders>
            <w:shd w:val="clear" w:color="auto" w:fill="auto"/>
            <w:hideMark/>
          </w:tcPr>
          <w:p w14:paraId="29A5F9BD"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5F6A8F84" w14:textId="77777777" w:rsidR="00E02032" w:rsidRPr="004C209D" w:rsidRDefault="00E02032" w:rsidP="00233C12">
            <w:pPr>
              <w:rPr>
                <w:color w:val="000000" w:themeColor="text1"/>
                <w:sz w:val="16"/>
                <w:szCs w:val="16"/>
              </w:rPr>
            </w:pPr>
            <w:r w:rsidRPr="004C209D">
              <w:rPr>
                <w:color w:val="000000" w:themeColor="text1"/>
                <w:sz w:val="16"/>
                <w:szCs w:val="16"/>
              </w:rPr>
              <w:t>OXFAM</w:t>
            </w:r>
          </w:p>
        </w:tc>
      </w:tr>
      <w:tr w:rsidR="00E02032" w:rsidRPr="004C209D" w14:paraId="3356D899"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1645949E"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06633271"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2692BFA4" w14:textId="77777777" w:rsidR="00E02032" w:rsidRPr="004C209D" w:rsidRDefault="00E02032" w:rsidP="00233C12">
            <w:pPr>
              <w:rPr>
                <w:color w:val="000000" w:themeColor="text1"/>
                <w:sz w:val="16"/>
                <w:szCs w:val="16"/>
              </w:rPr>
            </w:pPr>
            <w:r w:rsidRPr="004C209D">
              <w:rPr>
                <w:color w:val="000000" w:themeColor="text1"/>
                <w:sz w:val="16"/>
                <w:szCs w:val="16"/>
              </w:rPr>
              <w:t>KABO </w:t>
            </w:r>
          </w:p>
        </w:tc>
        <w:tc>
          <w:tcPr>
            <w:tcW w:w="1560" w:type="dxa"/>
            <w:vMerge/>
            <w:tcBorders>
              <w:top w:val="nil"/>
              <w:left w:val="single" w:sz="4" w:space="0" w:color="auto"/>
              <w:bottom w:val="single" w:sz="4" w:space="0" w:color="auto"/>
              <w:right w:val="single" w:sz="4" w:space="0" w:color="auto"/>
            </w:tcBorders>
            <w:vAlign w:val="center"/>
            <w:hideMark/>
          </w:tcPr>
          <w:p w14:paraId="66CEBEF5" w14:textId="77777777" w:rsidR="00E02032" w:rsidRPr="004C209D" w:rsidRDefault="00E02032" w:rsidP="00233C12">
            <w:pPr>
              <w:rPr>
                <w:color w:val="000000" w:themeColor="text1"/>
                <w:sz w:val="16"/>
                <w:szCs w:val="16"/>
              </w:rPr>
            </w:pPr>
          </w:p>
        </w:tc>
        <w:tc>
          <w:tcPr>
            <w:tcW w:w="1417" w:type="dxa"/>
            <w:tcBorders>
              <w:top w:val="nil"/>
              <w:left w:val="nil"/>
              <w:bottom w:val="single" w:sz="4" w:space="0" w:color="auto"/>
              <w:right w:val="single" w:sz="4" w:space="0" w:color="auto"/>
            </w:tcBorders>
            <w:shd w:val="clear" w:color="auto" w:fill="auto"/>
            <w:hideMark/>
          </w:tcPr>
          <w:p w14:paraId="2480A8AE" w14:textId="77777777" w:rsidR="00E02032" w:rsidRPr="004C209D" w:rsidRDefault="00E02032" w:rsidP="00233C12">
            <w:pPr>
              <w:rPr>
                <w:color w:val="000000" w:themeColor="text1"/>
                <w:sz w:val="16"/>
                <w:szCs w:val="16"/>
              </w:rPr>
            </w:pPr>
            <w:r w:rsidRPr="004C209D">
              <w:rPr>
                <w:color w:val="000000" w:themeColor="text1"/>
                <w:sz w:val="16"/>
                <w:szCs w:val="16"/>
              </w:rPr>
              <w:t>OXFAM, DRC</w:t>
            </w:r>
          </w:p>
        </w:tc>
        <w:tc>
          <w:tcPr>
            <w:tcW w:w="850" w:type="dxa"/>
            <w:tcBorders>
              <w:top w:val="nil"/>
              <w:left w:val="nil"/>
              <w:bottom w:val="single" w:sz="4" w:space="0" w:color="auto"/>
              <w:right w:val="single" w:sz="4" w:space="0" w:color="auto"/>
            </w:tcBorders>
            <w:shd w:val="clear" w:color="auto" w:fill="auto"/>
            <w:hideMark/>
          </w:tcPr>
          <w:p w14:paraId="76D3CF5C"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36C6E672" w14:textId="77777777" w:rsidR="00E02032" w:rsidRPr="004C209D" w:rsidRDefault="00E02032" w:rsidP="00233C12">
            <w:pPr>
              <w:rPr>
                <w:color w:val="000000" w:themeColor="text1"/>
                <w:sz w:val="16"/>
                <w:szCs w:val="16"/>
              </w:rPr>
            </w:pPr>
            <w:r w:rsidRPr="004C209D">
              <w:rPr>
                <w:color w:val="000000" w:themeColor="text1"/>
                <w:sz w:val="16"/>
                <w:szCs w:val="16"/>
              </w:rPr>
              <w:t>DRC, PLAN</w:t>
            </w:r>
          </w:p>
        </w:tc>
        <w:tc>
          <w:tcPr>
            <w:tcW w:w="708" w:type="dxa"/>
            <w:tcBorders>
              <w:top w:val="nil"/>
              <w:left w:val="nil"/>
              <w:bottom w:val="single" w:sz="4" w:space="0" w:color="auto"/>
              <w:right w:val="single" w:sz="4" w:space="0" w:color="auto"/>
            </w:tcBorders>
            <w:shd w:val="clear" w:color="auto" w:fill="auto"/>
            <w:hideMark/>
          </w:tcPr>
          <w:p w14:paraId="07837E28"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5A8B76BB" w14:textId="77777777" w:rsidR="00E02032" w:rsidRPr="004C209D" w:rsidRDefault="00E02032" w:rsidP="00233C12">
            <w:pPr>
              <w:rPr>
                <w:color w:val="000000" w:themeColor="text1"/>
                <w:sz w:val="16"/>
                <w:szCs w:val="16"/>
              </w:rPr>
            </w:pPr>
            <w:r w:rsidRPr="004C209D">
              <w:rPr>
                <w:color w:val="000000" w:themeColor="text1"/>
                <w:sz w:val="16"/>
                <w:szCs w:val="16"/>
              </w:rPr>
              <w:t> </w:t>
            </w:r>
          </w:p>
        </w:tc>
      </w:tr>
      <w:tr w:rsidR="00E02032" w:rsidRPr="004C209D" w14:paraId="4AB88B3F"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25C0384E"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5A3CD031"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6A0BC90E" w14:textId="77777777" w:rsidR="00E02032" w:rsidRPr="004C209D" w:rsidRDefault="00E02032" w:rsidP="00233C12">
            <w:pPr>
              <w:rPr>
                <w:color w:val="000000" w:themeColor="text1"/>
                <w:sz w:val="16"/>
                <w:szCs w:val="16"/>
              </w:rPr>
            </w:pPr>
            <w:r w:rsidRPr="004C209D">
              <w:rPr>
                <w:color w:val="000000" w:themeColor="text1"/>
                <w:sz w:val="16"/>
                <w:szCs w:val="16"/>
              </w:rPr>
              <w:t>MOYENNE SIDO</w:t>
            </w:r>
          </w:p>
        </w:tc>
        <w:tc>
          <w:tcPr>
            <w:tcW w:w="1560" w:type="dxa"/>
            <w:vMerge/>
            <w:tcBorders>
              <w:top w:val="nil"/>
              <w:left w:val="single" w:sz="4" w:space="0" w:color="auto"/>
              <w:bottom w:val="single" w:sz="4" w:space="0" w:color="auto"/>
              <w:right w:val="single" w:sz="4" w:space="0" w:color="auto"/>
            </w:tcBorders>
            <w:vAlign w:val="center"/>
            <w:hideMark/>
          </w:tcPr>
          <w:p w14:paraId="612D1572" w14:textId="77777777" w:rsidR="00E02032" w:rsidRPr="004C209D" w:rsidRDefault="00E02032" w:rsidP="00233C12">
            <w:pPr>
              <w:rPr>
                <w:color w:val="000000" w:themeColor="text1"/>
                <w:sz w:val="16"/>
                <w:szCs w:val="16"/>
              </w:rPr>
            </w:pPr>
          </w:p>
        </w:tc>
        <w:tc>
          <w:tcPr>
            <w:tcW w:w="1417" w:type="dxa"/>
            <w:tcBorders>
              <w:top w:val="nil"/>
              <w:left w:val="nil"/>
              <w:bottom w:val="single" w:sz="4" w:space="0" w:color="auto"/>
              <w:right w:val="single" w:sz="4" w:space="0" w:color="auto"/>
            </w:tcBorders>
            <w:shd w:val="clear" w:color="auto" w:fill="auto"/>
            <w:hideMark/>
          </w:tcPr>
          <w:p w14:paraId="199C9DD1" w14:textId="77777777" w:rsidR="00E02032" w:rsidRPr="004C209D" w:rsidRDefault="00E02032" w:rsidP="00233C12">
            <w:pPr>
              <w:rPr>
                <w:color w:val="000000" w:themeColor="text1"/>
                <w:sz w:val="16"/>
                <w:szCs w:val="16"/>
              </w:rPr>
            </w:pPr>
            <w:r w:rsidRPr="004C209D">
              <w:rPr>
                <w:color w:val="000000" w:themeColor="text1"/>
                <w:sz w:val="16"/>
                <w:szCs w:val="16"/>
              </w:rPr>
              <w:t>DRC, PLAN</w:t>
            </w:r>
          </w:p>
        </w:tc>
        <w:tc>
          <w:tcPr>
            <w:tcW w:w="850" w:type="dxa"/>
            <w:tcBorders>
              <w:top w:val="nil"/>
              <w:left w:val="nil"/>
              <w:bottom w:val="single" w:sz="4" w:space="0" w:color="auto"/>
              <w:right w:val="single" w:sz="4" w:space="0" w:color="auto"/>
            </w:tcBorders>
            <w:shd w:val="clear" w:color="auto" w:fill="auto"/>
            <w:hideMark/>
          </w:tcPr>
          <w:p w14:paraId="285F27E1"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6589AB1E" w14:textId="77777777" w:rsidR="00E02032" w:rsidRPr="004C209D" w:rsidRDefault="00E02032" w:rsidP="00233C12">
            <w:pPr>
              <w:rPr>
                <w:color w:val="000000" w:themeColor="text1"/>
                <w:sz w:val="16"/>
                <w:szCs w:val="16"/>
              </w:rPr>
            </w:pPr>
            <w:r w:rsidRPr="004C209D">
              <w:rPr>
                <w:color w:val="000000" w:themeColor="text1"/>
                <w:sz w:val="16"/>
                <w:szCs w:val="16"/>
              </w:rPr>
              <w:t>DRC, PLAN</w:t>
            </w:r>
          </w:p>
        </w:tc>
        <w:tc>
          <w:tcPr>
            <w:tcW w:w="708" w:type="dxa"/>
            <w:tcBorders>
              <w:top w:val="nil"/>
              <w:left w:val="nil"/>
              <w:bottom w:val="single" w:sz="4" w:space="0" w:color="auto"/>
              <w:right w:val="single" w:sz="4" w:space="0" w:color="auto"/>
            </w:tcBorders>
            <w:shd w:val="clear" w:color="auto" w:fill="auto"/>
            <w:hideMark/>
          </w:tcPr>
          <w:p w14:paraId="6D768991"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7788808D" w14:textId="77777777" w:rsidR="00E02032" w:rsidRPr="004C209D" w:rsidRDefault="00E02032" w:rsidP="00233C12">
            <w:pPr>
              <w:rPr>
                <w:color w:val="000000" w:themeColor="text1"/>
                <w:sz w:val="16"/>
                <w:szCs w:val="16"/>
              </w:rPr>
            </w:pPr>
            <w:r w:rsidRPr="004C209D">
              <w:rPr>
                <w:color w:val="000000" w:themeColor="text1"/>
                <w:sz w:val="16"/>
                <w:szCs w:val="16"/>
              </w:rPr>
              <w:t>PLAN</w:t>
            </w:r>
          </w:p>
        </w:tc>
      </w:tr>
      <w:tr w:rsidR="00E02032" w:rsidRPr="004C209D" w14:paraId="57CCDA33"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24C2CAA0"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5FE434B0"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50C6389A" w14:textId="77777777" w:rsidR="00E02032" w:rsidRPr="004C209D" w:rsidRDefault="00E02032" w:rsidP="00233C12">
            <w:pPr>
              <w:rPr>
                <w:color w:val="000000" w:themeColor="text1"/>
                <w:sz w:val="16"/>
                <w:szCs w:val="16"/>
              </w:rPr>
            </w:pPr>
            <w:r w:rsidRPr="004C209D">
              <w:rPr>
                <w:color w:val="000000" w:themeColor="text1"/>
                <w:sz w:val="16"/>
                <w:szCs w:val="16"/>
              </w:rPr>
              <w:t>BOUCA </w:t>
            </w:r>
          </w:p>
        </w:tc>
        <w:tc>
          <w:tcPr>
            <w:tcW w:w="1560" w:type="dxa"/>
            <w:tcBorders>
              <w:top w:val="nil"/>
              <w:left w:val="nil"/>
              <w:bottom w:val="single" w:sz="4" w:space="0" w:color="auto"/>
              <w:right w:val="single" w:sz="4" w:space="0" w:color="auto"/>
            </w:tcBorders>
            <w:shd w:val="clear" w:color="auto" w:fill="auto"/>
            <w:hideMark/>
          </w:tcPr>
          <w:p w14:paraId="5F763EAA" w14:textId="77777777" w:rsidR="00E02032" w:rsidRPr="004C209D" w:rsidRDefault="00E02032" w:rsidP="00233C12">
            <w:pPr>
              <w:rPr>
                <w:color w:val="000000" w:themeColor="text1"/>
                <w:sz w:val="16"/>
                <w:szCs w:val="16"/>
              </w:rPr>
            </w:pPr>
            <w:r w:rsidRPr="004C209D">
              <w:rPr>
                <w:color w:val="000000" w:themeColor="text1"/>
                <w:sz w:val="16"/>
                <w:szCs w:val="16"/>
              </w:rPr>
              <w:t>DS. 3.8 Bouca</w:t>
            </w:r>
          </w:p>
        </w:tc>
        <w:tc>
          <w:tcPr>
            <w:tcW w:w="1417" w:type="dxa"/>
            <w:tcBorders>
              <w:top w:val="nil"/>
              <w:left w:val="nil"/>
              <w:bottom w:val="single" w:sz="4" w:space="0" w:color="auto"/>
              <w:right w:val="single" w:sz="4" w:space="0" w:color="auto"/>
            </w:tcBorders>
            <w:shd w:val="clear" w:color="auto" w:fill="auto"/>
            <w:hideMark/>
          </w:tcPr>
          <w:p w14:paraId="564EEDFA" w14:textId="77777777" w:rsidR="00E02032" w:rsidRPr="004C209D" w:rsidRDefault="00E02032" w:rsidP="00233C12">
            <w:pPr>
              <w:rPr>
                <w:color w:val="000000" w:themeColor="text1"/>
                <w:sz w:val="16"/>
                <w:szCs w:val="16"/>
              </w:rPr>
            </w:pPr>
            <w:r w:rsidRPr="004C209D">
              <w:rPr>
                <w:color w:val="000000" w:themeColor="text1"/>
                <w:sz w:val="16"/>
                <w:szCs w:val="16"/>
              </w:rPr>
              <w:t>WV, OXFAM</w:t>
            </w:r>
          </w:p>
        </w:tc>
        <w:tc>
          <w:tcPr>
            <w:tcW w:w="850" w:type="dxa"/>
            <w:tcBorders>
              <w:top w:val="nil"/>
              <w:left w:val="nil"/>
              <w:bottom w:val="single" w:sz="4" w:space="0" w:color="auto"/>
              <w:right w:val="single" w:sz="4" w:space="0" w:color="auto"/>
            </w:tcBorders>
            <w:shd w:val="clear" w:color="auto" w:fill="auto"/>
            <w:hideMark/>
          </w:tcPr>
          <w:p w14:paraId="2D0C7114"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515ADD43"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708" w:type="dxa"/>
            <w:tcBorders>
              <w:top w:val="nil"/>
              <w:left w:val="nil"/>
              <w:bottom w:val="single" w:sz="4" w:space="0" w:color="auto"/>
              <w:right w:val="single" w:sz="4" w:space="0" w:color="auto"/>
            </w:tcBorders>
            <w:shd w:val="clear" w:color="auto" w:fill="auto"/>
            <w:hideMark/>
          </w:tcPr>
          <w:p w14:paraId="25E73ABE"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32C557FA" w14:textId="77777777" w:rsidR="00E02032" w:rsidRPr="004C209D" w:rsidRDefault="00E02032" w:rsidP="00233C12">
            <w:pPr>
              <w:rPr>
                <w:color w:val="000000" w:themeColor="text1"/>
                <w:sz w:val="16"/>
                <w:szCs w:val="16"/>
              </w:rPr>
            </w:pPr>
            <w:r w:rsidRPr="004C209D">
              <w:rPr>
                <w:color w:val="000000" w:themeColor="text1"/>
                <w:sz w:val="16"/>
                <w:szCs w:val="16"/>
              </w:rPr>
              <w:t>OXFAM</w:t>
            </w:r>
          </w:p>
        </w:tc>
      </w:tr>
      <w:tr w:rsidR="00E02032" w:rsidRPr="004C209D" w14:paraId="70FD5BB8" w14:textId="77777777" w:rsidTr="00233C12">
        <w:trPr>
          <w:trHeight w:val="20"/>
        </w:trPr>
        <w:tc>
          <w:tcPr>
            <w:tcW w:w="421" w:type="dxa"/>
            <w:vMerge w:val="restart"/>
            <w:tcBorders>
              <w:top w:val="nil"/>
              <w:left w:val="single" w:sz="4" w:space="0" w:color="auto"/>
              <w:bottom w:val="single" w:sz="4" w:space="0" w:color="auto"/>
              <w:right w:val="single" w:sz="4" w:space="0" w:color="auto"/>
            </w:tcBorders>
            <w:shd w:val="clear" w:color="000000" w:fill="FCE4D6"/>
            <w:noWrap/>
            <w:vAlign w:val="center"/>
            <w:hideMark/>
          </w:tcPr>
          <w:p w14:paraId="68DBC232" w14:textId="77777777" w:rsidR="00E02032" w:rsidRPr="004C209D" w:rsidRDefault="00E02032" w:rsidP="00233C12">
            <w:pPr>
              <w:jc w:val="center"/>
              <w:rPr>
                <w:b/>
                <w:bCs/>
                <w:color w:val="000000"/>
                <w:sz w:val="16"/>
                <w:szCs w:val="16"/>
              </w:rPr>
            </w:pPr>
            <w:r w:rsidRPr="004C209D">
              <w:rPr>
                <w:b/>
                <w:bCs/>
                <w:color w:val="000000"/>
                <w:sz w:val="16"/>
                <w:szCs w:val="16"/>
              </w:rPr>
              <w:t>4 </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51B5F90A" w14:textId="77777777" w:rsidR="00E02032" w:rsidRPr="004C209D" w:rsidRDefault="00E02032" w:rsidP="00233C12">
            <w:pPr>
              <w:rPr>
                <w:color w:val="000000" w:themeColor="text1"/>
                <w:sz w:val="16"/>
                <w:szCs w:val="16"/>
              </w:rPr>
            </w:pPr>
            <w:r w:rsidRPr="004C209D">
              <w:rPr>
                <w:color w:val="000000" w:themeColor="text1"/>
                <w:sz w:val="16"/>
                <w:szCs w:val="16"/>
              </w:rPr>
              <w:t>OUAKA </w:t>
            </w:r>
          </w:p>
        </w:tc>
        <w:tc>
          <w:tcPr>
            <w:tcW w:w="1418" w:type="dxa"/>
            <w:tcBorders>
              <w:top w:val="nil"/>
              <w:left w:val="nil"/>
              <w:bottom w:val="single" w:sz="4" w:space="0" w:color="auto"/>
              <w:right w:val="single" w:sz="4" w:space="0" w:color="auto"/>
            </w:tcBorders>
            <w:shd w:val="clear" w:color="auto" w:fill="auto"/>
            <w:hideMark/>
          </w:tcPr>
          <w:p w14:paraId="4D1FDEA8" w14:textId="77777777" w:rsidR="00E02032" w:rsidRPr="004C209D" w:rsidRDefault="00E02032" w:rsidP="00233C12">
            <w:pPr>
              <w:rPr>
                <w:color w:val="000000" w:themeColor="text1"/>
                <w:sz w:val="16"/>
                <w:szCs w:val="16"/>
              </w:rPr>
            </w:pPr>
            <w:r w:rsidRPr="004C209D">
              <w:rPr>
                <w:color w:val="000000" w:themeColor="text1"/>
                <w:sz w:val="16"/>
                <w:szCs w:val="16"/>
              </w:rPr>
              <w:t>BAMBARI </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14:paraId="5AADADB1" w14:textId="77777777" w:rsidR="00E02032" w:rsidRPr="004C209D" w:rsidRDefault="00E02032" w:rsidP="00233C12">
            <w:pPr>
              <w:rPr>
                <w:color w:val="000000" w:themeColor="text1"/>
                <w:sz w:val="16"/>
                <w:szCs w:val="16"/>
              </w:rPr>
            </w:pPr>
            <w:r w:rsidRPr="004C209D">
              <w:rPr>
                <w:color w:val="000000" w:themeColor="text1"/>
                <w:sz w:val="16"/>
                <w:szCs w:val="16"/>
              </w:rPr>
              <w:t>DS. 4.1 Bambari</w:t>
            </w:r>
          </w:p>
        </w:tc>
        <w:tc>
          <w:tcPr>
            <w:tcW w:w="1417" w:type="dxa"/>
            <w:tcBorders>
              <w:top w:val="nil"/>
              <w:left w:val="nil"/>
              <w:bottom w:val="single" w:sz="4" w:space="0" w:color="auto"/>
              <w:right w:val="single" w:sz="4" w:space="0" w:color="auto"/>
            </w:tcBorders>
            <w:shd w:val="clear" w:color="auto" w:fill="auto"/>
            <w:hideMark/>
          </w:tcPr>
          <w:p w14:paraId="53ED5743" w14:textId="77777777" w:rsidR="00E02032" w:rsidRPr="004C209D" w:rsidRDefault="00E02032" w:rsidP="00233C12">
            <w:pPr>
              <w:rPr>
                <w:color w:val="000000" w:themeColor="text1"/>
                <w:sz w:val="16"/>
                <w:szCs w:val="16"/>
              </w:rPr>
            </w:pPr>
            <w:r w:rsidRPr="004C209D">
              <w:rPr>
                <w:color w:val="000000" w:themeColor="text1"/>
                <w:sz w:val="16"/>
                <w:szCs w:val="16"/>
              </w:rPr>
              <w:t>IMC, COOPI, WV</w:t>
            </w:r>
          </w:p>
        </w:tc>
        <w:tc>
          <w:tcPr>
            <w:tcW w:w="850" w:type="dxa"/>
            <w:tcBorders>
              <w:top w:val="nil"/>
              <w:left w:val="nil"/>
              <w:bottom w:val="single" w:sz="4" w:space="0" w:color="auto"/>
              <w:right w:val="single" w:sz="4" w:space="0" w:color="auto"/>
            </w:tcBorders>
            <w:shd w:val="clear" w:color="auto" w:fill="auto"/>
            <w:hideMark/>
          </w:tcPr>
          <w:p w14:paraId="533977C3" w14:textId="77777777" w:rsidR="00E02032" w:rsidRPr="004C209D" w:rsidRDefault="00E02032" w:rsidP="00233C12">
            <w:pPr>
              <w:rPr>
                <w:color w:val="000000" w:themeColor="text1"/>
                <w:sz w:val="16"/>
                <w:szCs w:val="16"/>
              </w:rPr>
            </w:pPr>
            <w:r w:rsidRPr="004C209D">
              <w:rPr>
                <w:color w:val="000000" w:themeColor="text1"/>
                <w:sz w:val="16"/>
                <w:szCs w:val="16"/>
              </w:rPr>
              <w:t>IMC</w:t>
            </w:r>
          </w:p>
        </w:tc>
        <w:tc>
          <w:tcPr>
            <w:tcW w:w="1276" w:type="dxa"/>
            <w:tcBorders>
              <w:top w:val="nil"/>
              <w:left w:val="nil"/>
              <w:bottom w:val="single" w:sz="4" w:space="0" w:color="auto"/>
              <w:right w:val="single" w:sz="4" w:space="0" w:color="auto"/>
            </w:tcBorders>
            <w:shd w:val="clear" w:color="auto" w:fill="auto"/>
            <w:hideMark/>
          </w:tcPr>
          <w:p w14:paraId="5EB4462F" w14:textId="77777777" w:rsidR="00E02032" w:rsidRPr="004C209D" w:rsidRDefault="00E02032" w:rsidP="00233C12">
            <w:pPr>
              <w:rPr>
                <w:color w:val="000000" w:themeColor="text1"/>
                <w:sz w:val="16"/>
                <w:szCs w:val="16"/>
              </w:rPr>
            </w:pPr>
            <w:r w:rsidRPr="004C209D">
              <w:rPr>
                <w:color w:val="000000" w:themeColor="text1"/>
                <w:sz w:val="16"/>
                <w:szCs w:val="16"/>
              </w:rPr>
              <w:t>IMC, COOPI</w:t>
            </w:r>
          </w:p>
        </w:tc>
        <w:tc>
          <w:tcPr>
            <w:tcW w:w="708" w:type="dxa"/>
            <w:tcBorders>
              <w:top w:val="nil"/>
              <w:left w:val="nil"/>
              <w:bottom w:val="single" w:sz="4" w:space="0" w:color="auto"/>
              <w:right w:val="single" w:sz="4" w:space="0" w:color="auto"/>
            </w:tcBorders>
            <w:shd w:val="clear" w:color="auto" w:fill="auto"/>
            <w:hideMark/>
          </w:tcPr>
          <w:p w14:paraId="44F56AD1" w14:textId="77777777" w:rsidR="00E02032" w:rsidRPr="004C209D" w:rsidRDefault="00E02032" w:rsidP="00233C12">
            <w:pPr>
              <w:rPr>
                <w:color w:val="000000" w:themeColor="text1"/>
                <w:sz w:val="16"/>
                <w:szCs w:val="16"/>
              </w:rPr>
            </w:pPr>
            <w:r w:rsidRPr="004C209D">
              <w:rPr>
                <w:color w:val="000000" w:themeColor="text1"/>
                <w:sz w:val="16"/>
                <w:szCs w:val="16"/>
              </w:rPr>
              <w:t>COOPI</w:t>
            </w:r>
          </w:p>
        </w:tc>
        <w:tc>
          <w:tcPr>
            <w:tcW w:w="1276" w:type="dxa"/>
            <w:tcBorders>
              <w:top w:val="nil"/>
              <w:left w:val="nil"/>
              <w:bottom w:val="single" w:sz="4" w:space="0" w:color="auto"/>
              <w:right w:val="single" w:sz="4" w:space="0" w:color="auto"/>
            </w:tcBorders>
            <w:shd w:val="clear" w:color="auto" w:fill="auto"/>
            <w:hideMark/>
          </w:tcPr>
          <w:p w14:paraId="160FA36D" w14:textId="77777777" w:rsidR="00E02032" w:rsidRPr="004C209D" w:rsidRDefault="00E02032" w:rsidP="00233C12">
            <w:pPr>
              <w:rPr>
                <w:color w:val="000000" w:themeColor="text1"/>
                <w:sz w:val="16"/>
                <w:szCs w:val="16"/>
              </w:rPr>
            </w:pPr>
            <w:r w:rsidRPr="004C209D">
              <w:rPr>
                <w:color w:val="000000" w:themeColor="text1"/>
                <w:sz w:val="16"/>
                <w:szCs w:val="16"/>
              </w:rPr>
              <w:t> </w:t>
            </w:r>
          </w:p>
        </w:tc>
      </w:tr>
      <w:tr w:rsidR="00E02032" w:rsidRPr="004C209D" w14:paraId="51FCCCB1"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42B49ADA"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25A58486"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59D9CEA9" w14:textId="77777777" w:rsidR="00E02032" w:rsidRPr="004C209D" w:rsidRDefault="00E02032" w:rsidP="00233C12">
            <w:pPr>
              <w:rPr>
                <w:color w:val="000000" w:themeColor="text1"/>
                <w:sz w:val="16"/>
                <w:szCs w:val="16"/>
              </w:rPr>
            </w:pPr>
            <w:r w:rsidRPr="004C209D">
              <w:rPr>
                <w:color w:val="000000" w:themeColor="text1"/>
                <w:sz w:val="16"/>
                <w:szCs w:val="16"/>
              </w:rPr>
              <w:t>IPPY </w:t>
            </w:r>
          </w:p>
        </w:tc>
        <w:tc>
          <w:tcPr>
            <w:tcW w:w="1560" w:type="dxa"/>
            <w:vMerge/>
            <w:tcBorders>
              <w:top w:val="nil"/>
              <w:left w:val="single" w:sz="4" w:space="0" w:color="auto"/>
              <w:bottom w:val="single" w:sz="4" w:space="0" w:color="auto"/>
              <w:right w:val="single" w:sz="4" w:space="0" w:color="auto"/>
            </w:tcBorders>
            <w:shd w:val="clear" w:color="auto" w:fill="auto"/>
            <w:vAlign w:val="center"/>
            <w:hideMark/>
          </w:tcPr>
          <w:p w14:paraId="13DA1C43" w14:textId="77777777" w:rsidR="00E02032" w:rsidRPr="004C209D" w:rsidRDefault="00E02032" w:rsidP="00233C12">
            <w:pPr>
              <w:rPr>
                <w:color w:val="000000" w:themeColor="text1"/>
                <w:sz w:val="16"/>
                <w:szCs w:val="16"/>
              </w:rPr>
            </w:pPr>
          </w:p>
        </w:tc>
        <w:tc>
          <w:tcPr>
            <w:tcW w:w="1417" w:type="dxa"/>
            <w:tcBorders>
              <w:top w:val="nil"/>
              <w:left w:val="nil"/>
              <w:bottom w:val="single" w:sz="4" w:space="0" w:color="auto"/>
              <w:right w:val="single" w:sz="4" w:space="0" w:color="auto"/>
            </w:tcBorders>
            <w:shd w:val="clear" w:color="auto" w:fill="auto"/>
            <w:hideMark/>
          </w:tcPr>
          <w:p w14:paraId="317AFB46"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850" w:type="dxa"/>
            <w:tcBorders>
              <w:top w:val="nil"/>
              <w:left w:val="nil"/>
              <w:bottom w:val="single" w:sz="4" w:space="0" w:color="auto"/>
              <w:right w:val="single" w:sz="4" w:space="0" w:color="auto"/>
            </w:tcBorders>
            <w:shd w:val="clear" w:color="auto" w:fill="auto"/>
            <w:hideMark/>
          </w:tcPr>
          <w:p w14:paraId="56068A77"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53FACF7F"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708" w:type="dxa"/>
            <w:tcBorders>
              <w:top w:val="nil"/>
              <w:left w:val="nil"/>
              <w:bottom w:val="single" w:sz="4" w:space="0" w:color="auto"/>
              <w:right w:val="single" w:sz="4" w:space="0" w:color="auto"/>
            </w:tcBorders>
            <w:shd w:val="clear" w:color="auto" w:fill="auto"/>
            <w:hideMark/>
          </w:tcPr>
          <w:p w14:paraId="57F713ED"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3CC44E4E" w14:textId="77777777" w:rsidR="00E02032" w:rsidRPr="004C209D" w:rsidRDefault="00E02032" w:rsidP="00233C12">
            <w:pPr>
              <w:rPr>
                <w:color w:val="000000" w:themeColor="text1"/>
                <w:sz w:val="16"/>
                <w:szCs w:val="16"/>
              </w:rPr>
            </w:pPr>
            <w:r w:rsidRPr="004C209D">
              <w:rPr>
                <w:color w:val="000000" w:themeColor="text1"/>
                <w:sz w:val="16"/>
                <w:szCs w:val="16"/>
              </w:rPr>
              <w:t> </w:t>
            </w:r>
          </w:p>
        </w:tc>
      </w:tr>
      <w:tr w:rsidR="00E02032" w:rsidRPr="004C209D" w14:paraId="7BB78ED8"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6A4591A4"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09F13DA3"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06D64FC3" w14:textId="77777777" w:rsidR="00E02032" w:rsidRPr="004C209D" w:rsidRDefault="00E02032" w:rsidP="00233C12">
            <w:pPr>
              <w:rPr>
                <w:color w:val="000000" w:themeColor="text1"/>
                <w:sz w:val="16"/>
                <w:szCs w:val="16"/>
              </w:rPr>
            </w:pPr>
            <w:r w:rsidRPr="004C209D">
              <w:rPr>
                <w:color w:val="000000" w:themeColor="text1"/>
                <w:sz w:val="16"/>
                <w:szCs w:val="16"/>
              </w:rPr>
              <w:t>BAKALA</w:t>
            </w:r>
          </w:p>
        </w:tc>
        <w:tc>
          <w:tcPr>
            <w:tcW w:w="1560" w:type="dxa"/>
            <w:vMerge/>
            <w:tcBorders>
              <w:top w:val="nil"/>
              <w:left w:val="single" w:sz="4" w:space="0" w:color="auto"/>
              <w:bottom w:val="single" w:sz="4" w:space="0" w:color="auto"/>
              <w:right w:val="single" w:sz="4" w:space="0" w:color="auto"/>
            </w:tcBorders>
            <w:shd w:val="clear" w:color="auto" w:fill="auto"/>
            <w:vAlign w:val="center"/>
            <w:hideMark/>
          </w:tcPr>
          <w:p w14:paraId="66BEB27F" w14:textId="77777777" w:rsidR="00E02032" w:rsidRPr="004C209D" w:rsidRDefault="00E02032" w:rsidP="00233C12">
            <w:pPr>
              <w:rPr>
                <w:color w:val="000000" w:themeColor="text1"/>
                <w:sz w:val="16"/>
                <w:szCs w:val="16"/>
              </w:rPr>
            </w:pPr>
          </w:p>
        </w:tc>
        <w:tc>
          <w:tcPr>
            <w:tcW w:w="1417" w:type="dxa"/>
            <w:tcBorders>
              <w:top w:val="nil"/>
              <w:left w:val="nil"/>
              <w:bottom w:val="single" w:sz="4" w:space="0" w:color="auto"/>
              <w:right w:val="single" w:sz="4" w:space="0" w:color="auto"/>
            </w:tcBorders>
            <w:shd w:val="clear" w:color="auto" w:fill="auto"/>
            <w:hideMark/>
          </w:tcPr>
          <w:p w14:paraId="3CD296FE"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850" w:type="dxa"/>
            <w:tcBorders>
              <w:top w:val="nil"/>
              <w:left w:val="nil"/>
              <w:bottom w:val="single" w:sz="4" w:space="0" w:color="auto"/>
              <w:right w:val="single" w:sz="4" w:space="0" w:color="auto"/>
            </w:tcBorders>
            <w:shd w:val="clear" w:color="auto" w:fill="auto"/>
            <w:hideMark/>
          </w:tcPr>
          <w:p w14:paraId="75F7547A"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2C70D418" w14:textId="77777777" w:rsidR="00E02032" w:rsidRPr="004C209D" w:rsidRDefault="00E02032" w:rsidP="00233C12">
            <w:pPr>
              <w:rPr>
                <w:color w:val="000000" w:themeColor="text1"/>
                <w:sz w:val="16"/>
                <w:szCs w:val="16"/>
              </w:rPr>
            </w:pPr>
            <w:r w:rsidRPr="004C209D">
              <w:rPr>
                <w:color w:val="000000" w:themeColor="text1"/>
                <w:sz w:val="16"/>
                <w:szCs w:val="16"/>
              </w:rPr>
              <w:t>COOPI</w:t>
            </w:r>
          </w:p>
        </w:tc>
        <w:tc>
          <w:tcPr>
            <w:tcW w:w="708" w:type="dxa"/>
            <w:tcBorders>
              <w:top w:val="nil"/>
              <w:left w:val="nil"/>
              <w:bottom w:val="single" w:sz="4" w:space="0" w:color="auto"/>
              <w:right w:val="single" w:sz="4" w:space="0" w:color="auto"/>
            </w:tcBorders>
            <w:shd w:val="clear" w:color="auto" w:fill="auto"/>
            <w:hideMark/>
          </w:tcPr>
          <w:p w14:paraId="7F855549"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3925D70B" w14:textId="77777777" w:rsidR="00E02032" w:rsidRPr="004C209D" w:rsidRDefault="00E02032" w:rsidP="00233C12">
            <w:pPr>
              <w:rPr>
                <w:color w:val="000000" w:themeColor="text1"/>
                <w:sz w:val="16"/>
                <w:szCs w:val="16"/>
              </w:rPr>
            </w:pPr>
            <w:r w:rsidRPr="004C209D">
              <w:rPr>
                <w:color w:val="000000" w:themeColor="text1"/>
                <w:sz w:val="16"/>
                <w:szCs w:val="16"/>
              </w:rPr>
              <w:t> </w:t>
            </w:r>
          </w:p>
        </w:tc>
      </w:tr>
      <w:tr w:rsidR="00E02032" w:rsidRPr="004C209D" w14:paraId="7C9D24B9"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4BEFEA1B"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4DF4EE8A"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48701114" w14:textId="77777777" w:rsidR="00E02032" w:rsidRPr="004C209D" w:rsidRDefault="00E02032" w:rsidP="00233C12">
            <w:pPr>
              <w:rPr>
                <w:color w:val="000000" w:themeColor="text1"/>
                <w:sz w:val="16"/>
                <w:szCs w:val="16"/>
              </w:rPr>
            </w:pPr>
            <w:r w:rsidRPr="004C209D">
              <w:rPr>
                <w:color w:val="000000" w:themeColor="text1"/>
                <w:sz w:val="16"/>
                <w:szCs w:val="16"/>
              </w:rPr>
              <w:t>GRIMARI </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14:paraId="0E4C0A27" w14:textId="77777777" w:rsidR="00E02032" w:rsidRPr="004C209D" w:rsidRDefault="00E02032" w:rsidP="00233C12">
            <w:pPr>
              <w:rPr>
                <w:color w:val="000000" w:themeColor="text1"/>
                <w:sz w:val="16"/>
                <w:szCs w:val="16"/>
              </w:rPr>
            </w:pPr>
            <w:r w:rsidRPr="004C209D">
              <w:rPr>
                <w:color w:val="000000" w:themeColor="text1"/>
                <w:sz w:val="16"/>
                <w:szCs w:val="16"/>
              </w:rPr>
              <w:t>DS. 4.2 Kouango-Grimari</w:t>
            </w:r>
          </w:p>
        </w:tc>
        <w:tc>
          <w:tcPr>
            <w:tcW w:w="1417" w:type="dxa"/>
            <w:tcBorders>
              <w:top w:val="nil"/>
              <w:left w:val="nil"/>
              <w:bottom w:val="single" w:sz="4" w:space="0" w:color="auto"/>
              <w:right w:val="single" w:sz="4" w:space="0" w:color="auto"/>
            </w:tcBorders>
            <w:shd w:val="clear" w:color="auto" w:fill="auto"/>
            <w:hideMark/>
          </w:tcPr>
          <w:p w14:paraId="162E4480"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850" w:type="dxa"/>
            <w:tcBorders>
              <w:top w:val="nil"/>
              <w:left w:val="nil"/>
              <w:bottom w:val="single" w:sz="4" w:space="0" w:color="auto"/>
              <w:right w:val="single" w:sz="4" w:space="0" w:color="auto"/>
            </w:tcBorders>
            <w:shd w:val="clear" w:color="auto" w:fill="auto"/>
            <w:hideMark/>
          </w:tcPr>
          <w:p w14:paraId="08069D2C"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00C85D15" w14:textId="77777777" w:rsidR="00E02032" w:rsidRPr="004C209D" w:rsidRDefault="00E02032" w:rsidP="00233C12">
            <w:pPr>
              <w:rPr>
                <w:color w:val="000000" w:themeColor="text1"/>
                <w:sz w:val="16"/>
                <w:szCs w:val="16"/>
              </w:rPr>
            </w:pPr>
            <w:r w:rsidRPr="004C209D">
              <w:rPr>
                <w:color w:val="000000" w:themeColor="text1"/>
                <w:sz w:val="16"/>
                <w:szCs w:val="16"/>
              </w:rPr>
              <w:t>COOPI</w:t>
            </w:r>
          </w:p>
        </w:tc>
        <w:tc>
          <w:tcPr>
            <w:tcW w:w="708" w:type="dxa"/>
            <w:tcBorders>
              <w:top w:val="nil"/>
              <w:left w:val="nil"/>
              <w:bottom w:val="single" w:sz="4" w:space="0" w:color="auto"/>
              <w:right w:val="single" w:sz="4" w:space="0" w:color="auto"/>
            </w:tcBorders>
            <w:shd w:val="clear" w:color="auto" w:fill="auto"/>
            <w:hideMark/>
          </w:tcPr>
          <w:p w14:paraId="21A795AB"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35258CF3" w14:textId="77777777" w:rsidR="00E02032" w:rsidRPr="004C209D" w:rsidRDefault="00E02032" w:rsidP="00233C12">
            <w:pPr>
              <w:rPr>
                <w:color w:val="000000" w:themeColor="text1"/>
                <w:sz w:val="16"/>
                <w:szCs w:val="16"/>
              </w:rPr>
            </w:pPr>
            <w:r w:rsidRPr="004C209D">
              <w:rPr>
                <w:color w:val="000000" w:themeColor="text1"/>
                <w:sz w:val="16"/>
                <w:szCs w:val="16"/>
              </w:rPr>
              <w:t> </w:t>
            </w:r>
          </w:p>
        </w:tc>
      </w:tr>
      <w:tr w:rsidR="00E02032" w:rsidRPr="004C209D" w14:paraId="61CC88D3"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3396B89E"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38355ABE"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71E70097" w14:textId="77777777" w:rsidR="00E02032" w:rsidRPr="004C209D" w:rsidRDefault="00E02032" w:rsidP="00233C12">
            <w:pPr>
              <w:rPr>
                <w:color w:val="000000" w:themeColor="text1"/>
                <w:sz w:val="16"/>
                <w:szCs w:val="16"/>
              </w:rPr>
            </w:pPr>
            <w:r w:rsidRPr="004C209D">
              <w:rPr>
                <w:color w:val="000000" w:themeColor="text1"/>
                <w:sz w:val="16"/>
                <w:szCs w:val="16"/>
              </w:rPr>
              <w:t>KOUANGO </w:t>
            </w:r>
          </w:p>
        </w:tc>
        <w:tc>
          <w:tcPr>
            <w:tcW w:w="1560" w:type="dxa"/>
            <w:vMerge/>
            <w:tcBorders>
              <w:top w:val="nil"/>
              <w:left w:val="single" w:sz="4" w:space="0" w:color="auto"/>
              <w:bottom w:val="single" w:sz="4" w:space="0" w:color="auto"/>
              <w:right w:val="single" w:sz="4" w:space="0" w:color="auto"/>
            </w:tcBorders>
            <w:vAlign w:val="center"/>
            <w:hideMark/>
          </w:tcPr>
          <w:p w14:paraId="460E8B54" w14:textId="77777777" w:rsidR="00E02032" w:rsidRPr="004C209D" w:rsidRDefault="00E02032" w:rsidP="00233C12">
            <w:pPr>
              <w:rPr>
                <w:color w:val="000000" w:themeColor="text1"/>
                <w:sz w:val="16"/>
                <w:szCs w:val="16"/>
              </w:rPr>
            </w:pPr>
          </w:p>
        </w:tc>
        <w:tc>
          <w:tcPr>
            <w:tcW w:w="1417" w:type="dxa"/>
            <w:tcBorders>
              <w:top w:val="nil"/>
              <w:left w:val="nil"/>
              <w:bottom w:val="single" w:sz="4" w:space="0" w:color="auto"/>
              <w:right w:val="single" w:sz="4" w:space="0" w:color="auto"/>
            </w:tcBorders>
            <w:shd w:val="clear" w:color="auto" w:fill="auto"/>
            <w:hideMark/>
          </w:tcPr>
          <w:p w14:paraId="3703F3B4" w14:textId="77777777" w:rsidR="00E02032" w:rsidRPr="004C209D" w:rsidRDefault="00E02032" w:rsidP="00233C12">
            <w:pPr>
              <w:rPr>
                <w:color w:val="000000" w:themeColor="text1"/>
                <w:sz w:val="16"/>
                <w:szCs w:val="16"/>
              </w:rPr>
            </w:pPr>
            <w:r w:rsidRPr="004C209D">
              <w:rPr>
                <w:color w:val="000000" w:themeColor="text1"/>
                <w:sz w:val="16"/>
                <w:szCs w:val="16"/>
              </w:rPr>
              <w:t>COOPI</w:t>
            </w:r>
          </w:p>
        </w:tc>
        <w:tc>
          <w:tcPr>
            <w:tcW w:w="850" w:type="dxa"/>
            <w:tcBorders>
              <w:top w:val="nil"/>
              <w:left w:val="nil"/>
              <w:bottom w:val="single" w:sz="4" w:space="0" w:color="auto"/>
              <w:right w:val="single" w:sz="4" w:space="0" w:color="auto"/>
            </w:tcBorders>
            <w:shd w:val="clear" w:color="auto" w:fill="auto"/>
            <w:hideMark/>
          </w:tcPr>
          <w:p w14:paraId="2DA9003B"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477AA7FB" w14:textId="77777777" w:rsidR="00E02032" w:rsidRPr="004C209D" w:rsidRDefault="00E02032" w:rsidP="00233C12">
            <w:pPr>
              <w:rPr>
                <w:color w:val="000000" w:themeColor="text1"/>
                <w:sz w:val="16"/>
                <w:szCs w:val="16"/>
              </w:rPr>
            </w:pPr>
            <w:r w:rsidRPr="004C209D">
              <w:rPr>
                <w:color w:val="000000" w:themeColor="text1"/>
                <w:sz w:val="16"/>
                <w:szCs w:val="16"/>
              </w:rPr>
              <w:t>COOPI</w:t>
            </w:r>
          </w:p>
        </w:tc>
        <w:tc>
          <w:tcPr>
            <w:tcW w:w="708" w:type="dxa"/>
            <w:tcBorders>
              <w:top w:val="nil"/>
              <w:left w:val="nil"/>
              <w:bottom w:val="single" w:sz="4" w:space="0" w:color="auto"/>
              <w:right w:val="single" w:sz="4" w:space="0" w:color="auto"/>
            </w:tcBorders>
            <w:shd w:val="clear" w:color="auto" w:fill="auto"/>
            <w:hideMark/>
          </w:tcPr>
          <w:p w14:paraId="478B2C23" w14:textId="77777777" w:rsidR="00E02032" w:rsidRPr="004C209D" w:rsidRDefault="00E02032" w:rsidP="00233C12">
            <w:pPr>
              <w:rPr>
                <w:color w:val="000000" w:themeColor="text1"/>
                <w:sz w:val="16"/>
                <w:szCs w:val="16"/>
              </w:rPr>
            </w:pPr>
            <w:r w:rsidRPr="004C209D">
              <w:rPr>
                <w:color w:val="000000" w:themeColor="text1"/>
                <w:sz w:val="16"/>
                <w:szCs w:val="16"/>
              </w:rPr>
              <w:t>COOPI</w:t>
            </w:r>
          </w:p>
        </w:tc>
        <w:tc>
          <w:tcPr>
            <w:tcW w:w="1276" w:type="dxa"/>
            <w:tcBorders>
              <w:top w:val="nil"/>
              <w:left w:val="nil"/>
              <w:bottom w:val="single" w:sz="4" w:space="0" w:color="auto"/>
              <w:right w:val="single" w:sz="4" w:space="0" w:color="auto"/>
            </w:tcBorders>
            <w:shd w:val="clear" w:color="auto" w:fill="auto"/>
            <w:hideMark/>
          </w:tcPr>
          <w:p w14:paraId="41292065" w14:textId="77777777" w:rsidR="00E02032" w:rsidRPr="004C209D" w:rsidRDefault="00E02032" w:rsidP="00233C12">
            <w:pPr>
              <w:rPr>
                <w:color w:val="000000" w:themeColor="text1"/>
                <w:sz w:val="16"/>
                <w:szCs w:val="16"/>
              </w:rPr>
            </w:pPr>
            <w:r w:rsidRPr="004C209D">
              <w:rPr>
                <w:color w:val="000000" w:themeColor="text1"/>
                <w:sz w:val="16"/>
                <w:szCs w:val="16"/>
              </w:rPr>
              <w:t> </w:t>
            </w:r>
          </w:p>
        </w:tc>
      </w:tr>
      <w:tr w:rsidR="00E02032" w:rsidRPr="004C209D" w14:paraId="2B438E39"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7EA9E116" w14:textId="77777777" w:rsidR="00E02032" w:rsidRPr="004C209D" w:rsidRDefault="00E02032" w:rsidP="00233C12">
            <w:pPr>
              <w:rPr>
                <w:b/>
                <w:bCs/>
                <w:color w:val="000000"/>
                <w:sz w:val="16"/>
                <w:szCs w:val="16"/>
              </w:rPr>
            </w:pP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562D1269" w14:textId="77777777" w:rsidR="00E02032" w:rsidRPr="004C209D" w:rsidRDefault="00E02032" w:rsidP="00233C12">
            <w:pPr>
              <w:rPr>
                <w:color w:val="000000" w:themeColor="text1"/>
                <w:sz w:val="16"/>
                <w:szCs w:val="16"/>
              </w:rPr>
            </w:pPr>
            <w:r w:rsidRPr="004C209D">
              <w:rPr>
                <w:color w:val="000000" w:themeColor="text1"/>
                <w:sz w:val="16"/>
                <w:szCs w:val="16"/>
              </w:rPr>
              <w:t>KEMO</w:t>
            </w:r>
          </w:p>
        </w:tc>
        <w:tc>
          <w:tcPr>
            <w:tcW w:w="1418" w:type="dxa"/>
            <w:tcBorders>
              <w:top w:val="nil"/>
              <w:left w:val="nil"/>
              <w:bottom w:val="single" w:sz="4" w:space="0" w:color="auto"/>
              <w:right w:val="single" w:sz="4" w:space="0" w:color="auto"/>
            </w:tcBorders>
            <w:shd w:val="clear" w:color="auto" w:fill="auto"/>
            <w:hideMark/>
          </w:tcPr>
          <w:p w14:paraId="1A282515" w14:textId="77777777" w:rsidR="00E02032" w:rsidRPr="004C209D" w:rsidRDefault="00E02032" w:rsidP="00233C12">
            <w:pPr>
              <w:rPr>
                <w:color w:val="000000" w:themeColor="text1"/>
                <w:sz w:val="16"/>
                <w:szCs w:val="16"/>
              </w:rPr>
            </w:pPr>
            <w:r w:rsidRPr="004C209D">
              <w:rPr>
                <w:color w:val="000000" w:themeColor="text1"/>
                <w:sz w:val="16"/>
                <w:szCs w:val="16"/>
              </w:rPr>
              <w:t>SiIBUT</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14:paraId="11234F6E" w14:textId="77777777" w:rsidR="00E02032" w:rsidRPr="004C209D" w:rsidRDefault="00E02032" w:rsidP="00233C12">
            <w:pPr>
              <w:rPr>
                <w:color w:val="000000" w:themeColor="text1"/>
                <w:sz w:val="16"/>
                <w:szCs w:val="16"/>
              </w:rPr>
            </w:pPr>
            <w:r w:rsidRPr="004C209D">
              <w:rPr>
                <w:color w:val="000000" w:themeColor="text1"/>
                <w:sz w:val="16"/>
                <w:szCs w:val="16"/>
              </w:rPr>
              <w:t>DS. 4.3 Kemo</w:t>
            </w:r>
          </w:p>
        </w:tc>
        <w:tc>
          <w:tcPr>
            <w:tcW w:w="1417" w:type="dxa"/>
            <w:tcBorders>
              <w:top w:val="nil"/>
              <w:left w:val="nil"/>
              <w:bottom w:val="single" w:sz="4" w:space="0" w:color="auto"/>
              <w:right w:val="single" w:sz="4" w:space="0" w:color="auto"/>
            </w:tcBorders>
            <w:shd w:val="clear" w:color="auto" w:fill="auto"/>
            <w:hideMark/>
          </w:tcPr>
          <w:p w14:paraId="12AAD64D" w14:textId="77777777" w:rsidR="00E02032" w:rsidRPr="004C209D" w:rsidRDefault="00E02032" w:rsidP="00233C12">
            <w:pPr>
              <w:rPr>
                <w:color w:val="000000" w:themeColor="text1"/>
                <w:sz w:val="16"/>
                <w:szCs w:val="16"/>
              </w:rPr>
            </w:pPr>
            <w:r w:rsidRPr="004C209D">
              <w:rPr>
                <w:color w:val="000000" w:themeColor="text1"/>
                <w:sz w:val="16"/>
                <w:szCs w:val="16"/>
              </w:rPr>
              <w:t>INTERSOS</w:t>
            </w:r>
          </w:p>
        </w:tc>
        <w:tc>
          <w:tcPr>
            <w:tcW w:w="850" w:type="dxa"/>
            <w:tcBorders>
              <w:top w:val="nil"/>
              <w:left w:val="nil"/>
              <w:bottom w:val="single" w:sz="4" w:space="0" w:color="auto"/>
              <w:right w:val="single" w:sz="4" w:space="0" w:color="auto"/>
            </w:tcBorders>
            <w:shd w:val="clear" w:color="auto" w:fill="auto"/>
            <w:hideMark/>
          </w:tcPr>
          <w:p w14:paraId="3EEC094F"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002E0487" w14:textId="77777777" w:rsidR="00E02032" w:rsidRPr="004C209D" w:rsidRDefault="00E02032" w:rsidP="00233C12">
            <w:pPr>
              <w:rPr>
                <w:color w:val="000000" w:themeColor="text1"/>
                <w:sz w:val="16"/>
                <w:szCs w:val="16"/>
              </w:rPr>
            </w:pPr>
            <w:r w:rsidRPr="004C209D">
              <w:rPr>
                <w:color w:val="000000" w:themeColor="text1"/>
                <w:sz w:val="16"/>
                <w:szCs w:val="16"/>
              </w:rPr>
              <w:t>INTERSOS</w:t>
            </w:r>
          </w:p>
        </w:tc>
        <w:tc>
          <w:tcPr>
            <w:tcW w:w="708" w:type="dxa"/>
            <w:tcBorders>
              <w:top w:val="nil"/>
              <w:left w:val="nil"/>
              <w:bottom w:val="single" w:sz="4" w:space="0" w:color="auto"/>
              <w:right w:val="single" w:sz="4" w:space="0" w:color="auto"/>
            </w:tcBorders>
            <w:shd w:val="clear" w:color="auto" w:fill="auto"/>
            <w:hideMark/>
          </w:tcPr>
          <w:p w14:paraId="007066F2"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7329F25B" w14:textId="77777777" w:rsidR="00E02032" w:rsidRPr="004C209D" w:rsidRDefault="00E02032" w:rsidP="00233C12">
            <w:pPr>
              <w:rPr>
                <w:color w:val="000000" w:themeColor="text1"/>
                <w:sz w:val="16"/>
                <w:szCs w:val="16"/>
              </w:rPr>
            </w:pPr>
            <w:r w:rsidRPr="004C209D">
              <w:rPr>
                <w:color w:val="000000" w:themeColor="text1"/>
                <w:sz w:val="16"/>
                <w:szCs w:val="16"/>
              </w:rPr>
              <w:t>INTERSOS</w:t>
            </w:r>
          </w:p>
        </w:tc>
      </w:tr>
      <w:tr w:rsidR="00E02032" w:rsidRPr="004C209D" w14:paraId="52509F8F"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59B3F500"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67CAE819"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6E3704E2" w14:textId="77777777" w:rsidR="00E02032" w:rsidRPr="004C209D" w:rsidRDefault="00E02032" w:rsidP="00233C12">
            <w:pPr>
              <w:rPr>
                <w:color w:val="000000" w:themeColor="text1"/>
                <w:sz w:val="16"/>
                <w:szCs w:val="16"/>
              </w:rPr>
            </w:pPr>
            <w:r w:rsidRPr="004C209D">
              <w:rPr>
                <w:color w:val="000000" w:themeColor="text1"/>
                <w:sz w:val="16"/>
                <w:szCs w:val="16"/>
              </w:rPr>
              <w:t xml:space="preserve">DEKOA </w:t>
            </w:r>
          </w:p>
        </w:tc>
        <w:tc>
          <w:tcPr>
            <w:tcW w:w="1560" w:type="dxa"/>
            <w:vMerge/>
            <w:tcBorders>
              <w:top w:val="nil"/>
              <w:left w:val="single" w:sz="4" w:space="0" w:color="auto"/>
              <w:bottom w:val="single" w:sz="4" w:space="0" w:color="auto"/>
              <w:right w:val="single" w:sz="4" w:space="0" w:color="auto"/>
            </w:tcBorders>
            <w:shd w:val="clear" w:color="auto" w:fill="auto"/>
            <w:vAlign w:val="center"/>
            <w:hideMark/>
          </w:tcPr>
          <w:p w14:paraId="4FC35154" w14:textId="77777777" w:rsidR="00E02032" w:rsidRPr="004C209D" w:rsidRDefault="00E02032" w:rsidP="00233C12">
            <w:pPr>
              <w:rPr>
                <w:color w:val="000000" w:themeColor="text1"/>
                <w:sz w:val="16"/>
                <w:szCs w:val="16"/>
              </w:rPr>
            </w:pPr>
          </w:p>
        </w:tc>
        <w:tc>
          <w:tcPr>
            <w:tcW w:w="1417" w:type="dxa"/>
            <w:tcBorders>
              <w:top w:val="nil"/>
              <w:left w:val="nil"/>
              <w:bottom w:val="single" w:sz="4" w:space="0" w:color="auto"/>
              <w:right w:val="single" w:sz="4" w:space="0" w:color="auto"/>
            </w:tcBorders>
            <w:shd w:val="clear" w:color="auto" w:fill="auto"/>
            <w:hideMark/>
          </w:tcPr>
          <w:p w14:paraId="1313EDD8" w14:textId="77777777" w:rsidR="00E02032" w:rsidRPr="004C209D" w:rsidRDefault="00E02032" w:rsidP="00233C12">
            <w:pPr>
              <w:rPr>
                <w:color w:val="000000" w:themeColor="text1"/>
                <w:sz w:val="16"/>
                <w:szCs w:val="16"/>
              </w:rPr>
            </w:pPr>
            <w:r w:rsidRPr="004C209D">
              <w:rPr>
                <w:color w:val="000000" w:themeColor="text1"/>
                <w:sz w:val="16"/>
                <w:szCs w:val="16"/>
              </w:rPr>
              <w:t>INTERSOS, IRC</w:t>
            </w:r>
          </w:p>
        </w:tc>
        <w:tc>
          <w:tcPr>
            <w:tcW w:w="850" w:type="dxa"/>
            <w:tcBorders>
              <w:top w:val="nil"/>
              <w:left w:val="nil"/>
              <w:bottom w:val="single" w:sz="4" w:space="0" w:color="auto"/>
              <w:right w:val="single" w:sz="4" w:space="0" w:color="auto"/>
            </w:tcBorders>
            <w:shd w:val="clear" w:color="auto" w:fill="auto"/>
            <w:hideMark/>
          </w:tcPr>
          <w:p w14:paraId="7E982146"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2D418845" w14:textId="77777777" w:rsidR="00E02032" w:rsidRPr="004C209D" w:rsidRDefault="00E02032" w:rsidP="00233C12">
            <w:pPr>
              <w:rPr>
                <w:color w:val="000000" w:themeColor="text1"/>
                <w:sz w:val="16"/>
                <w:szCs w:val="16"/>
              </w:rPr>
            </w:pPr>
            <w:r w:rsidRPr="004C209D">
              <w:rPr>
                <w:color w:val="000000" w:themeColor="text1"/>
                <w:sz w:val="16"/>
                <w:szCs w:val="16"/>
              </w:rPr>
              <w:t>INTERSOS, IRC</w:t>
            </w:r>
          </w:p>
        </w:tc>
        <w:tc>
          <w:tcPr>
            <w:tcW w:w="708" w:type="dxa"/>
            <w:tcBorders>
              <w:top w:val="nil"/>
              <w:left w:val="nil"/>
              <w:bottom w:val="single" w:sz="4" w:space="0" w:color="auto"/>
              <w:right w:val="single" w:sz="4" w:space="0" w:color="auto"/>
            </w:tcBorders>
            <w:shd w:val="clear" w:color="auto" w:fill="auto"/>
            <w:hideMark/>
          </w:tcPr>
          <w:p w14:paraId="46159310"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44B7980A" w14:textId="77777777" w:rsidR="00E02032" w:rsidRPr="004C209D" w:rsidRDefault="00E02032" w:rsidP="00233C12">
            <w:pPr>
              <w:rPr>
                <w:color w:val="000000" w:themeColor="text1"/>
                <w:sz w:val="16"/>
                <w:szCs w:val="16"/>
              </w:rPr>
            </w:pPr>
            <w:r w:rsidRPr="004C209D">
              <w:rPr>
                <w:color w:val="000000" w:themeColor="text1"/>
                <w:sz w:val="16"/>
                <w:szCs w:val="16"/>
              </w:rPr>
              <w:t>INTERSOS, IRC</w:t>
            </w:r>
          </w:p>
        </w:tc>
      </w:tr>
      <w:tr w:rsidR="00E02032" w:rsidRPr="004C209D" w14:paraId="13FA7AF4"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7A060850"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5479DD52"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622C8128" w14:textId="77777777" w:rsidR="00E02032" w:rsidRPr="004C209D" w:rsidRDefault="00E02032" w:rsidP="00233C12">
            <w:pPr>
              <w:rPr>
                <w:color w:val="000000" w:themeColor="text1"/>
                <w:sz w:val="16"/>
                <w:szCs w:val="16"/>
              </w:rPr>
            </w:pPr>
            <w:r w:rsidRPr="004C209D">
              <w:rPr>
                <w:color w:val="000000" w:themeColor="text1"/>
                <w:sz w:val="16"/>
                <w:szCs w:val="16"/>
              </w:rPr>
              <w:t>NDJOUKOU</w:t>
            </w:r>
          </w:p>
        </w:tc>
        <w:tc>
          <w:tcPr>
            <w:tcW w:w="1560" w:type="dxa"/>
            <w:vMerge/>
            <w:tcBorders>
              <w:top w:val="nil"/>
              <w:left w:val="single" w:sz="4" w:space="0" w:color="auto"/>
              <w:bottom w:val="single" w:sz="4" w:space="0" w:color="auto"/>
              <w:right w:val="single" w:sz="4" w:space="0" w:color="auto"/>
            </w:tcBorders>
            <w:shd w:val="clear" w:color="auto" w:fill="auto"/>
            <w:vAlign w:val="center"/>
            <w:hideMark/>
          </w:tcPr>
          <w:p w14:paraId="6063CAB9" w14:textId="77777777" w:rsidR="00E02032" w:rsidRPr="004C209D" w:rsidRDefault="00E02032" w:rsidP="00233C12">
            <w:pPr>
              <w:rPr>
                <w:color w:val="000000" w:themeColor="text1"/>
                <w:sz w:val="16"/>
                <w:szCs w:val="16"/>
              </w:rPr>
            </w:pPr>
          </w:p>
        </w:tc>
        <w:tc>
          <w:tcPr>
            <w:tcW w:w="1417" w:type="dxa"/>
            <w:tcBorders>
              <w:top w:val="nil"/>
              <w:left w:val="nil"/>
              <w:bottom w:val="single" w:sz="4" w:space="0" w:color="auto"/>
              <w:right w:val="single" w:sz="4" w:space="0" w:color="auto"/>
            </w:tcBorders>
            <w:shd w:val="clear" w:color="auto" w:fill="auto"/>
            <w:hideMark/>
          </w:tcPr>
          <w:p w14:paraId="6F650A53" w14:textId="77777777" w:rsidR="00E02032" w:rsidRPr="004C209D" w:rsidRDefault="00E02032" w:rsidP="00233C12">
            <w:pPr>
              <w:rPr>
                <w:color w:val="000000" w:themeColor="text1"/>
                <w:sz w:val="16"/>
                <w:szCs w:val="16"/>
              </w:rPr>
            </w:pPr>
            <w:r w:rsidRPr="004C209D">
              <w:rPr>
                <w:color w:val="000000" w:themeColor="text1"/>
                <w:sz w:val="16"/>
                <w:szCs w:val="16"/>
              </w:rPr>
              <w:t>INTERSOS</w:t>
            </w:r>
          </w:p>
        </w:tc>
        <w:tc>
          <w:tcPr>
            <w:tcW w:w="850" w:type="dxa"/>
            <w:tcBorders>
              <w:top w:val="nil"/>
              <w:left w:val="nil"/>
              <w:bottom w:val="single" w:sz="4" w:space="0" w:color="auto"/>
              <w:right w:val="single" w:sz="4" w:space="0" w:color="auto"/>
            </w:tcBorders>
            <w:shd w:val="clear" w:color="auto" w:fill="auto"/>
            <w:hideMark/>
          </w:tcPr>
          <w:p w14:paraId="1249FA4E"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3B144865" w14:textId="77777777" w:rsidR="00E02032" w:rsidRPr="004C209D" w:rsidRDefault="00E02032" w:rsidP="00233C12">
            <w:pPr>
              <w:rPr>
                <w:color w:val="000000" w:themeColor="text1"/>
                <w:sz w:val="16"/>
                <w:szCs w:val="16"/>
              </w:rPr>
            </w:pPr>
            <w:r w:rsidRPr="004C209D">
              <w:rPr>
                <w:color w:val="000000" w:themeColor="text1"/>
                <w:sz w:val="16"/>
                <w:szCs w:val="16"/>
              </w:rPr>
              <w:t>INTERSOS</w:t>
            </w:r>
          </w:p>
        </w:tc>
        <w:tc>
          <w:tcPr>
            <w:tcW w:w="708" w:type="dxa"/>
            <w:tcBorders>
              <w:top w:val="nil"/>
              <w:left w:val="nil"/>
              <w:bottom w:val="single" w:sz="4" w:space="0" w:color="auto"/>
              <w:right w:val="single" w:sz="4" w:space="0" w:color="auto"/>
            </w:tcBorders>
            <w:shd w:val="clear" w:color="auto" w:fill="auto"/>
            <w:hideMark/>
          </w:tcPr>
          <w:p w14:paraId="142A1E2A"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2ED3F212" w14:textId="77777777" w:rsidR="00E02032" w:rsidRPr="004C209D" w:rsidRDefault="00E02032" w:rsidP="00233C12">
            <w:pPr>
              <w:rPr>
                <w:color w:val="000000" w:themeColor="text1"/>
                <w:sz w:val="16"/>
                <w:szCs w:val="16"/>
              </w:rPr>
            </w:pPr>
            <w:r w:rsidRPr="004C209D">
              <w:rPr>
                <w:color w:val="000000" w:themeColor="text1"/>
                <w:sz w:val="16"/>
                <w:szCs w:val="16"/>
              </w:rPr>
              <w:t>INTERSOS</w:t>
            </w:r>
          </w:p>
        </w:tc>
      </w:tr>
      <w:tr w:rsidR="00E02032" w:rsidRPr="004C209D" w14:paraId="3FA4E127"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0B4B9106"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6D07575D"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4DAF6FDD" w14:textId="77777777" w:rsidR="00E02032" w:rsidRPr="004C209D" w:rsidRDefault="00E02032" w:rsidP="00233C12">
            <w:pPr>
              <w:rPr>
                <w:color w:val="000000" w:themeColor="text1"/>
                <w:sz w:val="16"/>
                <w:szCs w:val="16"/>
              </w:rPr>
            </w:pPr>
            <w:r w:rsidRPr="004C209D">
              <w:rPr>
                <w:color w:val="000000" w:themeColor="text1"/>
                <w:sz w:val="16"/>
                <w:szCs w:val="16"/>
              </w:rPr>
              <w:t>MALA (not mentionedin arrete)</w:t>
            </w:r>
          </w:p>
        </w:tc>
        <w:tc>
          <w:tcPr>
            <w:tcW w:w="1560" w:type="dxa"/>
            <w:vMerge/>
            <w:tcBorders>
              <w:top w:val="nil"/>
              <w:left w:val="single" w:sz="4" w:space="0" w:color="auto"/>
              <w:bottom w:val="single" w:sz="4" w:space="0" w:color="auto"/>
              <w:right w:val="single" w:sz="4" w:space="0" w:color="auto"/>
            </w:tcBorders>
            <w:shd w:val="clear" w:color="auto" w:fill="auto"/>
            <w:vAlign w:val="center"/>
            <w:hideMark/>
          </w:tcPr>
          <w:p w14:paraId="5E634C79" w14:textId="77777777" w:rsidR="00E02032" w:rsidRPr="004C209D" w:rsidRDefault="00E02032" w:rsidP="00233C12">
            <w:pPr>
              <w:rPr>
                <w:color w:val="000000" w:themeColor="text1"/>
                <w:sz w:val="16"/>
                <w:szCs w:val="16"/>
              </w:rPr>
            </w:pPr>
          </w:p>
        </w:tc>
        <w:tc>
          <w:tcPr>
            <w:tcW w:w="1417" w:type="dxa"/>
            <w:tcBorders>
              <w:top w:val="nil"/>
              <w:left w:val="nil"/>
              <w:bottom w:val="single" w:sz="4" w:space="0" w:color="auto"/>
              <w:right w:val="single" w:sz="4" w:space="0" w:color="auto"/>
            </w:tcBorders>
            <w:shd w:val="clear" w:color="auto" w:fill="auto"/>
            <w:hideMark/>
          </w:tcPr>
          <w:p w14:paraId="227999F9" w14:textId="77777777" w:rsidR="00E02032" w:rsidRPr="004C209D" w:rsidRDefault="00E02032" w:rsidP="00233C12">
            <w:pPr>
              <w:rPr>
                <w:color w:val="000000" w:themeColor="text1"/>
                <w:sz w:val="16"/>
                <w:szCs w:val="16"/>
              </w:rPr>
            </w:pPr>
            <w:r w:rsidRPr="004C209D">
              <w:rPr>
                <w:color w:val="000000" w:themeColor="text1"/>
                <w:sz w:val="16"/>
                <w:szCs w:val="16"/>
              </w:rPr>
              <w:t>INTERSOS</w:t>
            </w:r>
          </w:p>
        </w:tc>
        <w:tc>
          <w:tcPr>
            <w:tcW w:w="850" w:type="dxa"/>
            <w:tcBorders>
              <w:top w:val="nil"/>
              <w:left w:val="nil"/>
              <w:bottom w:val="single" w:sz="4" w:space="0" w:color="auto"/>
              <w:right w:val="single" w:sz="4" w:space="0" w:color="auto"/>
            </w:tcBorders>
            <w:shd w:val="clear" w:color="auto" w:fill="auto"/>
            <w:hideMark/>
          </w:tcPr>
          <w:p w14:paraId="2E149B08"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678C56DF" w14:textId="77777777" w:rsidR="00E02032" w:rsidRPr="004C209D" w:rsidRDefault="00E02032" w:rsidP="00233C12">
            <w:pPr>
              <w:rPr>
                <w:color w:val="000000" w:themeColor="text1"/>
                <w:sz w:val="16"/>
                <w:szCs w:val="16"/>
              </w:rPr>
            </w:pPr>
            <w:r w:rsidRPr="004C209D">
              <w:rPr>
                <w:color w:val="000000" w:themeColor="text1"/>
                <w:sz w:val="16"/>
                <w:szCs w:val="16"/>
              </w:rPr>
              <w:t>INTERSOS</w:t>
            </w:r>
          </w:p>
        </w:tc>
        <w:tc>
          <w:tcPr>
            <w:tcW w:w="708" w:type="dxa"/>
            <w:tcBorders>
              <w:top w:val="nil"/>
              <w:left w:val="nil"/>
              <w:bottom w:val="single" w:sz="4" w:space="0" w:color="auto"/>
              <w:right w:val="single" w:sz="4" w:space="0" w:color="auto"/>
            </w:tcBorders>
            <w:shd w:val="clear" w:color="auto" w:fill="auto"/>
            <w:hideMark/>
          </w:tcPr>
          <w:p w14:paraId="0DEDA878"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7164B5F1" w14:textId="77777777" w:rsidR="00E02032" w:rsidRPr="004C209D" w:rsidRDefault="00E02032" w:rsidP="00233C12">
            <w:pPr>
              <w:rPr>
                <w:color w:val="000000" w:themeColor="text1"/>
                <w:sz w:val="16"/>
                <w:szCs w:val="16"/>
              </w:rPr>
            </w:pPr>
            <w:r w:rsidRPr="004C209D">
              <w:rPr>
                <w:color w:val="000000" w:themeColor="text1"/>
                <w:sz w:val="16"/>
                <w:szCs w:val="16"/>
              </w:rPr>
              <w:t>INTERSOS</w:t>
            </w:r>
          </w:p>
        </w:tc>
      </w:tr>
      <w:tr w:rsidR="00E02032" w:rsidRPr="004C209D" w14:paraId="3A92C7AB"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335E5FB9"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468B0BC8"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5F4FCDBF" w14:textId="77777777" w:rsidR="00E02032" w:rsidRPr="004C209D" w:rsidRDefault="00E02032" w:rsidP="00233C12">
            <w:pPr>
              <w:rPr>
                <w:color w:val="000000" w:themeColor="text1"/>
                <w:sz w:val="16"/>
                <w:szCs w:val="16"/>
              </w:rPr>
            </w:pPr>
            <w:r w:rsidRPr="004C209D">
              <w:rPr>
                <w:color w:val="000000" w:themeColor="text1"/>
                <w:sz w:val="16"/>
                <w:szCs w:val="16"/>
              </w:rPr>
              <w:t>Possel (not sous prefecture)</w:t>
            </w:r>
          </w:p>
        </w:tc>
        <w:tc>
          <w:tcPr>
            <w:tcW w:w="1560" w:type="dxa"/>
            <w:vMerge/>
            <w:tcBorders>
              <w:top w:val="nil"/>
              <w:left w:val="single" w:sz="4" w:space="0" w:color="auto"/>
              <w:bottom w:val="single" w:sz="4" w:space="0" w:color="auto"/>
              <w:right w:val="single" w:sz="4" w:space="0" w:color="auto"/>
            </w:tcBorders>
            <w:shd w:val="clear" w:color="auto" w:fill="auto"/>
            <w:vAlign w:val="center"/>
            <w:hideMark/>
          </w:tcPr>
          <w:p w14:paraId="13950D47" w14:textId="77777777" w:rsidR="00E02032" w:rsidRPr="004C209D" w:rsidRDefault="00E02032" w:rsidP="00233C12">
            <w:pPr>
              <w:rPr>
                <w:color w:val="000000" w:themeColor="text1"/>
                <w:sz w:val="16"/>
                <w:szCs w:val="16"/>
              </w:rPr>
            </w:pPr>
          </w:p>
        </w:tc>
        <w:tc>
          <w:tcPr>
            <w:tcW w:w="1417" w:type="dxa"/>
            <w:tcBorders>
              <w:top w:val="nil"/>
              <w:left w:val="nil"/>
              <w:bottom w:val="single" w:sz="4" w:space="0" w:color="auto"/>
              <w:right w:val="single" w:sz="4" w:space="0" w:color="auto"/>
            </w:tcBorders>
            <w:shd w:val="clear" w:color="auto" w:fill="auto"/>
            <w:hideMark/>
          </w:tcPr>
          <w:p w14:paraId="582B1E0E"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850" w:type="dxa"/>
            <w:tcBorders>
              <w:top w:val="nil"/>
              <w:left w:val="nil"/>
              <w:bottom w:val="single" w:sz="4" w:space="0" w:color="auto"/>
              <w:right w:val="single" w:sz="4" w:space="0" w:color="auto"/>
            </w:tcBorders>
            <w:shd w:val="clear" w:color="auto" w:fill="auto"/>
            <w:hideMark/>
          </w:tcPr>
          <w:p w14:paraId="092CE0F2"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19BE5FEF"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708" w:type="dxa"/>
            <w:tcBorders>
              <w:top w:val="nil"/>
              <w:left w:val="nil"/>
              <w:bottom w:val="single" w:sz="4" w:space="0" w:color="auto"/>
              <w:right w:val="single" w:sz="4" w:space="0" w:color="auto"/>
            </w:tcBorders>
            <w:shd w:val="clear" w:color="auto" w:fill="auto"/>
            <w:hideMark/>
          </w:tcPr>
          <w:p w14:paraId="37731A42"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55C325ED" w14:textId="77777777" w:rsidR="00E02032" w:rsidRPr="004C209D" w:rsidRDefault="00E02032" w:rsidP="00233C12">
            <w:pPr>
              <w:rPr>
                <w:color w:val="000000" w:themeColor="text1"/>
                <w:sz w:val="16"/>
                <w:szCs w:val="16"/>
              </w:rPr>
            </w:pPr>
            <w:r w:rsidRPr="004C209D">
              <w:rPr>
                <w:color w:val="000000" w:themeColor="text1"/>
                <w:sz w:val="16"/>
                <w:szCs w:val="16"/>
              </w:rPr>
              <w:t> </w:t>
            </w:r>
          </w:p>
        </w:tc>
      </w:tr>
      <w:tr w:rsidR="00E02032" w:rsidRPr="004C209D" w14:paraId="23F57DF5"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2C02CB68" w14:textId="77777777" w:rsidR="00E02032" w:rsidRPr="004C209D" w:rsidRDefault="00E02032" w:rsidP="00233C12">
            <w:pPr>
              <w:rPr>
                <w:b/>
                <w:bCs/>
                <w:color w:val="000000"/>
                <w:sz w:val="16"/>
                <w:szCs w:val="16"/>
              </w:rPr>
            </w:pP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024217EC" w14:textId="77777777" w:rsidR="00E02032" w:rsidRPr="004C209D" w:rsidRDefault="00E02032" w:rsidP="00233C12">
            <w:pPr>
              <w:rPr>
                <w:color w:val="000000" w:themeColor="text1"/>
                <w:sz w:val="16"/>
                <w:szCs w:val="16"/>
              </w:rPr>
            </w:pPr>
            <w:r w:rsidRPr="004C209D">
              <w:rPr>
                <w:color w:val="000000" w:themeColor="text1"/>
                <w:sz w:val="16"/>
                <w:szCs w:val="16"/>
              </w:rPr>
              <w:t>NANA-GRIBIZI </w:t>
            </w:r>
          </w:p>
        </w:tc>
        <w:tc>
          <w:tcPr>
            <w:tcW w:w="1418" w:type="dxa"/>
            <w:tcBorders>
              <w:top w:val="nil"/>
              <w:left w:val="nil"/>
              <w:bottom w:val="single" w:sz="4" w:space="0" w:color="auto"/>
              <w:right w:val="single" w:sz="4" w:space="0" w:color="auto"/>
            </w:tcBorders>
            <w:shd w:val="clear" w:color="auto" w:fill="auto"/>
            <w:hideMark/>
          </w:tcPr>
          <w:p w14:paraId="3C9C629F" w14:textId="77777777" w:rsidR="00E02032" w:rsidRPr="004C209D" w:rsidRDefault="00E02032" w:rsidP="00233C12">
            <w:pPr>
              <w:rPr>
                <w:color w:val="000000" w:themeColor="text1"/>
                <w:sz w:val="16"/>
                <w:szCs w:val="16"/>
              </w:rPr>
            </w:pPr>
            <w:r w:rsidRPr="004C209D">
              <w:rPr>
                <w:color w:val="000000" w:themeColor="text1"/>
                <w:sz w:val="16"/>
                <w:szCs w:val="16"/>
              </w:rPr>
              <w:t>KAGA BANDORO </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14:paraId="568035D8" w14:textId="77777777" w:rsidR="00E02032" w:rsidRPr="004C209D" w:rsidRDefault="00E02032" w:rsidP="00233C12">
            <w:pPr>
              <w:rPr>
                <w:color w:val="000000" w:themeColor="text1"/>
                <w:sz w:val="16"/>
                <w:szCs w:val="16"/>
              </w:rPr>
            </w:pPr>
            <w:r w:rsidRPr="004C209D">
              <w:rPr>
                <w:color w:val="000000" w:themeColor="text1"/>
                <w:sz w:val="16"/>
                <w:szCs w:val="16"/>
              </w:rPr>
              <w:t>DS. 4.4 NANA-GRIBIZI </w:t>
            </w:r>
          </w:p>
        </w:tc>
        <w:tc>
          <w:tcPr>
            <w:tcW w:w="1417" w:type="dxa"/>
            <w:tcBorders>
              <w:top w:val="nil"/>
              <w:left w:val="nil"/>
              <w:bottom w:val="single" w:sz="4" w:space="0" w:color="auto"/>
              <w:right w:val="single" w:sz="4" w:space="0" w:color="auto"/>
            </w:tcBorders>
            <w:shd w:val="clear" w:color="auto" w:fill="auto"/>
            <w:hideMark/>
          </w:tcPr>
          <w:p w14:paraId="0F9E8646" w14:textId="77777777" w:rsidR="00E02032" w:rsidRPr="004C209D" w:rsidRDefault="00E02032" w:rsidP="00233C12">
            <w:pPr>
              <w:rPr>
                <w:color w:val="000000" w:themeColor="text1"/>
                <w:sz w:val="16"/>
                <w:szCs w:val="16"/>
              </w:rPr>
            </w:pPr>
            <w:r w:rsidRPr="004C209D">
              <w:rPr>
                <w:color w:val="000000" w:themeColor="text1"/>
                <w:sz w:val="16"/>
                <w:szCs w:val="16"/>
              </w:rPr>
              <w:t>INTERSOS, WORLD VISION, IRC</w:t>
            </w:r>
          </w:p>
        </w:tc>
        <w:tc>
          <w:tcPr>
            <w:tcW w:w="850" w:type="dxa"/>
            <w:tcBorders>
              <w:top w:val="nil"/>
              <w:left w:val="nil"/>
              <w:bottom w:val="single" w:sz="4" w:space="0" w:color="auto"/>
              <w:right w:val="single" w:sz="4" w:space="0" w:color="auto"/>
            </w:tcBorders>
            <w:shd w:val="clear" w:color="auto" w:fill="auto"/>
            <w:hideMark/>
          </w:tcPr>
          <w:p w14:paraId="4F91E6FF"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2B57ADFD" w14:textId="77777777" w:rsidR="00E02032" w:rsidRPr="004C209D" w:rsidRDefault="00E02032" w:rsidP="00233C12">
            <w:pPr>
              <w:rPr>
                <w:color w:val="000000" w:themeColor="text1"/>
                <w:sz w:val="16"/>
                <w:szCs w:val="16"/>
              </w:rPr>
            </w:pPr>
            <w:r w:rsidRPr="004C209D">
              <w:rPr>
                <w:color w:val="000000" w:themeColor="text1"/>
                <w:sz w:val="16"/>
                <w:szCs w:val="16"/>
              </w:rPr>
              <w:t>INTERSOS, ABA, IRC</w:t>
            </w:r>
          </w:p>
        </w:tc>
        <w:tc>
          <w:tcPr>
            <w:tcW w:w="708" w:type="dxa"/>
            <w:tcBorders>
              <w:top w:val="nil"/>
              <w:left w:val="nil"/>
              <w:bottom w:val="single" w:sz="4" w:space="0" w:color="auto"/>
              <w:right w:val="single" w:sz="4" w:space="0" w:color="auto"/>
            </w:tcBorders>
            <w:shd w:val="clear" w:color="auto" w:fill="auto"/>
            <w:hideMark/>
          </w:tcPr>
          <w:p w14:paraId="5DBA8538" w14:textId="77777777" w:rsidR="00E02032" w:rsidRPr="004C209D" w:rsidRDefault="00E02032" w:rsidP="00233C12">
            <w:pPr>
              <w:rPr>
                <w:color w:val="000000" w:themeColor="text1"/>
                <w:sz w:val="16"/>
                <w:szCs w:val="16"/>
              </w:rPr>
            </w:pPr>
            <w:r w:rsidRPr="004C209D">
              <w:rPr>
                <w:color w:val="000000" w:themeColor="text1"/>
                <w:sz w:val="16"/>
                <w:szCs w:val="16"/>
              </w:rPr>
              <w:t>ABA</w:t>
            </w:r>
          </w:p>
        </w:tc>
        <w:tc>
          <w:tcPr>
            <w:tcW w:w="1276" w:type="dxa"/>
            <w:tcBorders>
              <w:top w:val="nil"/>
              <w:left w:val="nil"/>
              <w:bottom w:val="single" w:sz="4" w:space="0" w:color="auto"/>
              <w:right w:val="single" w:sz="4" w:space="0" w:color="auto"/>
            </w:tcBorders>
            <w:shd w:val="clear" w:color="auto" w:fill="auto"/>
            <w:hideMark/>
          </w:tcPr>
          <w:p w14:paraId="5795AC07" w14:textId="77777777" w:rsidR="00E02032" w:rsidRPr="004C209D" w:rsidRDefault="00E02032" w:rsidP="00233C12">
            <w:pPr>
              <w:rPr>
                <w:color w:val="000000" w:themeColor="text1"/>
                <w:sz w:val="16"/>
                <w:szCs w:val="16"/>
              </w:rPr>
            </w:pPr>
            <w:r w:rsidRPr="004C209D">
              <w:rPr>
                <w:color w:val="000000" w:themeColor="text1"/>
                <w:sz w:val="16"/>
                <w:szCs w:val="16"/>
              </w:rPr>
              <w:t>INTERSOS, IRC</w:t>
            </w:r>
          </w:p>
        </w:tc>
      </w:tr>
      <w:tr w:rsidR="00E02032" w:rsidRPr="004C209D" w14:paraId="5AAB9D4A"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1BEDEBAF"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11775D96"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2B4E0222" w14:textId="77777777" w:rsidR="00E02032" w:rsidRPr="004C209D" w:rsidRDefault="00E02032" w:rsidP="00233C12">
            <w:pPr>
              <w:rPr>
                <w:color w:val="000000" w:themeColor="text1"/>
                <w:sz w:val="16"/>
                <w:szCs w:val="16"/>
              </w:rPr>
            </w:pPr>
            <w:r w:rsidRPr="004C209D">
              <w:rPr>
                <w:color w:val="000000" w:themeColor="text1"/>
                <w:sz w:val="16"/>
                <w:szCs w:val="16"/>
              </w:rPr>
              <w:t>MBRES </w:t>
            </w:r>
          </w:p>
        </w:tc>
        <w:tc>
          <w:tcPr>
            <w:tcW w:w="1560" w:type="dxa"/>
            <w:vMerge/>
            <w:tcBorders>
              <w:top w:val="nil"/>
              <w:left w:val="single" w:sz="4" w:space="0" w:color="auto"/>
              <w:bottom w:val="single" w:sz="4" w:space="0" w:color="auto"/>
              <w:right w:val="single" w:sz="4" w:space="0" w:color="auto"/>
            </w:tcBorders>
            <w:shd w:val="clear" w:color="auto" w:fill="auto"/>
            <w:vAlign w:val="center"/>
            <w:hideMark/>
          </w:tcPr>
          <w:p w14:paraId="6AB4A67E" w14:textId="77777777" w:rsidR="00E02032" w:rsidRPr="004C209D" w:rsidRDefault="00E02032" w:rsidP="00233C12">
            <w:pPr>
              <w:rPr>
                <w:color w:val="000000" w:themeColor="text1"/>
                <w:sz w:val="16"/>
                <w:szCs w:val="16"/>
              </w:rPr>
            </w:pPr>
          </w:p>
        </w:tc>
        <w:tc>
          <w:tcPr>
            <w:tcW w:w="1417" w:type="dxa"/>
            <w:tcBorders>
              <w:top w:val="nil"/>
              <w:left w:val="nil"/>
              <w:bottom w:val="single" w:sz="4" w:space="0" w:color="auto"/>
              <w:right w:val="single" w:sz="4" w:space="0" w:color="auto"/>
            </w:tcBorders>
            <w:shd w:val="clear" w:color="auto" w:fill="auto"/>
            <w:hideMark/>
          </w:tcPr>
          <w:p w14:paraId="2F642F4D" w14:textId="77777777" w:rsidR="00E02032" w:rsidRPr="004C209D" w:rsidRDefault="00E02032" w:rsidP="00233C12">
            <w:pPr>
              <w:rPr>
                <w:color w:val="000000" w:themeColor="text1"/>
                <w:sz w:val="16"/>
                <w:szCs w:val="16"/>
              </w:rPr>
            </w:pPr>
            <w:r w:rsidRPr="004C209D">
              <w:rPr>
                <w:color w:val="000000" w:themeColor="text1"/>
                <w:sz w:val="16"/>
                <w:szCs w:val="16"/>
              </w:rPr>
              <w:t>INTERSOS</w:t>
            </w:r>
          </w:p>
        </w:tc>
        <w:tc>
          <w:tcPr>
            <w:tcW w:w="850" w:type="dxa"/>
            <w:tcBorders>
              <w:top w:val="nil"/>
              <w:left w:val="nil"/>
              <w:bottom w:val="single" w:sz="4" w:space="0" w:color="auto"/>
              <w:right w:val="single" w:sz="4" w:space="0" w:color="auto"/>
            </w:tcBorders>
            <w:shd w:val="clear" w:color="auto" w:fill="auto"/>
            <w:hideMark/>
          </w:tcPr>
          <w:p w14:paraId="31777CA8"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4FF61125" w14:textId="77777777" w:rsidR="00E02032" w:rsidRPr="004C209D" w:rsidRDefault="00E02032" w:rsidP="00233C12">
            <w:pPr>
              <w:rPr>
                <w:color w:val="000000" w:themeColor="text1"/>
                <w:sz w:val="16"/>
                <w:szCs w:val="16"/>
              </w:rPr>
            </w:pPr>
            <w:r w:rsidRPr="004C209D">
              <w:rPr>
                <w:color w:val="000000" w:themeColor="text1"/>
                <w:sz w:val="16"/>
                <w:szCs w:val="16"/>
              </w:rPr>
              <w:t>INTERSOS</w:t>
            </w:r>
          </w:p>
        </w:tc>
        <w:tc>
          <w:tcPr>
            <w:tcW w:w="708" w:type="dxa"/>
            <w:tcBorders>
              <w:top w:val="nil"/>
              <w:left w:val="nil"/>
              <w:bottom w:val="single" w:sz="4" w:space="0" w:color="auto"/>
              <w:right w:val="single" w:sz="4" w:space="0" w:color="auto"/>
            </w:tcBorders>
            <w:shd w:val="clear" w:color="auto" w:fill="auto"/>
            <w:hideMark/>
          </w:tcPr>
          <w:p w14:paraId="2DFCA9A9"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51057D7A" w14:textId="77777777" w:rsidR="00E02032" w:rsidRPr="004C209D" w:rsidRDefault="00E02032" w:rsidP="00233C12">
            <w:pPr>
              <w:rPr>
                <w:color w:val="000000" w:themeColor="text1"/>
                <w:sz w:val="16"/>
                <w:szCs w:val="16"/>
              </w:rPr>
            </w:pPr>
            <w:r w:rsidRPr="004C209D">
              <w:rPr>
                <w:color w:val="000000" w:themeColor="text1"/>
                <w:sz w:val="16"/>
                <w:szCs w:val="16"/>
              </w:rPr>
              <w:t>INTERSOS</w:t>
            </w:r>
          </w:p>
        </w:tc>
      </w:tr>
      <w:tr w:rsidR="00E02032" w:rsidRPr="004C209D" w14:paraId="5FF96D23" w14:textId="77777777" w:rsidTr="00233C12">
        <w:trPr>
          <w:trHeight w:val="20"/>
        </w:trPr>
        <w:tc>
          <w:tcPr>
            <w:tcW w:w="421" w:type="dxa"/>
            <w:vMerge w:val="restart"/>
            <w:tcBorders>
              <w:top w:val="nil"/>
              <w:left w:val="single" w:sz="4" w:space="0" w:color="auto"/>
              <w:bottom w:val="single" w:sz="4" w:space="0" w:color="auto"/>
              <w:right w:val="single" w:sz="4" w:space="0" w:color="auto"/>
            </w:tcBorders>
            <w:shd w:val="clear" w:color="000000" w:fill="FFF2CC"/>
            <w:noWrap/>
            <w:vAlign w:val="center"/>
            <w:hideMark/>
          </w:tcPr>
          <w:p w14:paraId="04BE1646" w14:textId="77777777" w:rsidR="00E02032" w:rsidRPr="004C209D" w:rsidRDefault="00E02032" w:rsidP="00233C12">
            <w:pPr>
              <w:jc w:val="center"/>
              <w:rPr>
                <w:b/>
                <w:bCs/>
                <w:color w:val="000000"/>
                <w:sz w:val="16"/>
                <w:szCs w:val="16"/>
              </w:rPr>
            </w:pPr>
            <w:r w:rsidRPr="004C209D">
              <w:rPr>
                <w:b/>
                <w:bCs/>
                <w:color w:val="000000"/>
                <w:sz w:val="16"/>
                <w:szCs w:val="16"/>
              </w:rPr>
              <w:t>5 </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0B692E9C" w14:textId="77777777" w:rsidR="00E02032" w:rsidRPr="004C209D" w:rsidRDefault="00E02032" w:rsidP="00233C12">
            <w:pPr>
              <w:rPr>
                <w:color w:val="000000" w:themeColor="text1"/>
                <w:sz w:val="16"/>
                <w:szCs w:val="16"/>
              </w:rPr>
            </w:pPr>
            <w:r w:rsidRPr="004C209D">
              <w:rPr>
                <w:color w:val="000000" w:themeColor="text1"/>
                <w:sz w:val="16"/>
                <w:szCs w:val="16"/>
              </w:rPr>
              <w:t>HAUTE-KOTTO </w:t>
            </w:r>
          </w:p>
        </w:tc>
        <w:tc>
          <w:tcPr>
            <w:tcW w:w="1418" w:type="dxa"/>
            <w:tcBorders>
              <w:top w:val="nil"/>
              <w:left w:val="nil"/>
              <w:bottom w:val="single" w:sz="4" w:space="0" w:color="auto"/>
              <w:right w:val="single" w:sz="4" w:space="0" w:color="auto"/>
            </w:tcBorders>
            <w:shd w:val="clear" w:color="auto" w:fill="auto"/>
            <w:hideMark/>
          </w:tcPr>
          <w:p w14:paraId="5D2DCC78" w14:textId="77777777" w:rsidR="00E02032" w:rsidRPr="004C209D" w:rsidRDefault="00E02032" w:rsidP="00233C12">
            <w:pPr>
              <w:rPr>
                <w:color w:val="000000" w:themeColor="text1"/>
                <w:sz w:val="16"/>
                <w:szCs w:val="16"/>
              </w:rPr>
            </w:pPr>
            <w:r w:rsidRPr="004C209D">
              <w:rPr>
                <w:color w:val="000000" w:themeColor="text1"/>
                <w:sz w:val="16"/>
                <w:szCs w:val="16"/>
              </w:rPr>
              <w:t>BRIA </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14:paraId="410A0178" w14:textId="77777777" w:rsidR="00E02032" w:rsidRPr="004C209D" w:rsidRDefault="00E02032" w:rsidP="00233C12">
            <w:pPr>
              <w:rPr>
                <w:color w:val="000000" w:themeColor="text1"/>
                <w:sz w:val="16"/>
                <w:szCs w:val="16"/>
              </w:rPr>
            </w:pPr>
            <w:r w:rsidRPr="004C209D">
              <w:rPr>
                <w:color w:val="000000" w:themeColor="text1"/>
                <w:sz w:val="16"/>
                <w:szCs w:val="16"/>
              </w:rPr>
              <w:t>DS. 5.1 HAUTE-KOTTO </w:t>
            </w:r>
          </w:p>
        </w:tc>
        <w:tc>
          <w:tcPr>
            <w:tcW w:w="1417" w:type="dxa"/>
            <w:tcBorders>
              <w:top w:val="nil"/>
              <w:left w:val="nil"/>
              <w:bottom w:val="single" w:sz="4" w:space="0" w:color="auto"/>
              <w:right w:val="single" w:sz="4" w:space="0" w:color="auto"/>
            </w:tcBorders>
            <w:shd w:val="clear" w:color="auto" w:fill="auto"/>
            <w:hideMark/>
          </w:tcPr>
          <w:p w14:paraId="37E72552" w14:textId="77777777" w:rsidR="00E02032" w:rsidRPr="004C209D" w:rsidRDefault="00E02032" w:rsidP="00233C12">
            <w:pPr>
              <w:rPr>
                <w:color w:val="000000" w:themeColor="text1"/>
                <w:sz w:val="16"/>
                <w:szCs w:val="16"/>
              </w:rPr>
            </w:pPr>
            <w:r w:rsidRPr="004C209D">
              <w:rPr>
                <w:color w:val="000000" w:themeColor="text1"/>
                <w:sz w:val="16"/>
                <w:szCs w:val="16"/>
              </w:rPr>
              <w:t>IMC, OXFAM, COOPI</w:t>
            </w:r>
          </w:p>
        </w:tc>
        <w:tc>
          <w:tcPr>
            <w:tcW w:w="850" w:type="dxa"/>
            <w:tcBorders>
              <w:top w:val="nil"/>
              <w:left w:val="nil"/>
              <w:bottom w:val="single" w:sz="4" w:space="0" w:color="auto"/>
              <w:right w:val="single" w:sz="4" w:space="0" w:color="auto"/>
            </w:tcBorders>
            <w:shd w:val="clear" w:color="auto" w:fill="auto"/>
            <w:hideMark/>
          </w:tcPr>
          <w:p w14:paraId="398F94A1" w14:textId="77777777" w:rsidR="00E02032" w:rsidRPr="004C209D" w:rsidRDefault="00E02032" w:rsidP="00233C12">
            <w:pPr>
              <w:rPr>
                <w:color w:val="000000" w:themeColor="text1"/>
                <w:sz w:val="16"/>
                <w:szCs w:val="16"/>
              </w:rPr>
            </w:pPr>
            <w:r w:rsidRPr="004C209D">
              <w:rPr>
                <w:color w:val="000000" w:themeColor="text1"/>
                <w:sz w:val="16"/>
                <w:szCs w:val="16"/>
              </w:rPr>
              <w:t>IMC,</w:t>
            </w:r>
          </w:p>
        </w:tc>
        <w:tc>
          <w:tcPr>
            <w:tcW w:w="1276" w:type="dxa"/>
            <w:tcBorders>
              <w:top w:val="nil"/>
              <w:left w:val="nil"/>
              <w:bottom w:val="single" w:sz="4" w:space="0" w:color="auto"/>
              <w:right w:val="single" w:sz="4" w:space="0" w:color="auto"/>
            </w:tcBorders>
            <w:shd w:val="clear" w:color="auto" w:fill="auto"/>
            <w:hideMark/>
          </w:tcPr>
          <w:p w14:paraId="5445B629" w14:textId="77777777" w:rsidR="00E02032" w:rsidRPr="004C209D" w:rsidRDefault="00E02032" w:rsidP="00233C12">
            <w:pPr>
              <w:rPr>
                <w:color w:val="000000" w:themeColor="text1"/>
                <w:sz w:val="16"/>
                <w:szCs w:val="16"/>
              </w:rPr>
            </w:pPr>
            <w:r w:rsidRPr="004C209D">
              <w:rPr>
                <w:color w:val="000000" w:themeColor="text1"/>
                <w:sz w:val="16"/>
                <w:szCs w:val="16"/>
              </w:rPr>
              <w:t>IMC, COOPI</w:t>
            </w:r>
          </w:p>
        </w:tc>
        <w:tc>
          <w:tcPr>
            <w:tcW w:w="708" w:type="dxa"/>
            <w:tcBorders>
              <w:top w:val="nil"/>
              <w:left w:val="nil"/>
              <w:bottom w:val="single" w:sz="4" w:space="0" w:color="auto"/>
              <w:right w:val="single" w:sz="4" w:space="0" w:color="auto"/>
            </w:tcBorders>
            <w:shd w:val="clear" w:color="auto" w:fill="auto"/>
            <w:hideMark/>
          </w:tcPr>
          <w:p w14:paraId="116A1C4A"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2ECBEABF" w14:textId="77777777" w:rsidR="00E02032" w:rsidRPr="004C209D" w:rsidRDefault="00E02032" w:rsidP="00233C12">
            <w:pPr>
              <w:rPr>
                <w:color w:val="000000" w:themeColor="text1"/>
                <w:sz w:val="16"/>
                <w:szCs w:val="16"/>
              </w:rPr>
            </w:pPr>
            <w:r w:rsidRPr="004C209D">
              <w:rPr>
                <w:color w:val="000000" w:themeColor="text1"/>
                <w:sz w:val="16"/>
                <w:szCs w:val="16"/>
              </w:rPr>
              <w:t>OXFAM, COOPI</w:t>
            </w:r>
          </w:p>
        </w:tc>
      </w:tr>
      <w:tr w:rsidR="00E02032" w:rsidRPr="004C209D" w14:paraId="75D7EDB1"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7EDCCA0D"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77405BF7"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7B150DAF" w14:textId="77777777" w:rsidR="00E02032" w:rsidRPr="004C209D" w:rsidRDefault="00E02032" w:rsidP="00233C12">
            <w:pPr>
              <w:rPr>
                <w:color w:val="000000" w:themeColor="text1"/>
                <w:sz w:val="16"/>
                <w:szCs w:val="16"/>
              </w:rPr>
            </w:pPr>
            <w:r w:rsidRPr="004C209D">
              <w:rPr>
                <w:color w:val="000000" w:themeColor="text1"/>
                <w:sz w:val="16"/>
                <w:szCs w:val="16"/>
              </w:rPr>
              <w:t>OUADDA </w:t>
            </w:r>
          </w:p>
        </w:tc>
        <w:tc>
          <w:tcPr>
            <w:tcW w:w="1560" w:type="dxa"/>
            <w:vMerge/>
            <w:tcBorders>
              <w:top w:val="nil"/>
              <w:left w:val="single" w:sz="4" w:space="0" w:color="auto"/>
              <w:bottom w:val="single" w:sz="4" w:space="0" w:color="auto"/>
              <w:right w:val="single" w:sz="4" w:space="0" w:color="auto"/>
            </w:tcBorders>
            <w:shd w:val="clear" w:color="auto" w:fill="auto"/>
            <w:vAlign w:val="center"/>
            <w:hideMark/>
          </w:tcPr>
          <w:p w14:paraId="71BAF59F" w14:textId="77777777" w:rsidR="00E02032" w:rsidRPr="004C209D" w:rsidRDefault="00E02032" w:rsidP="00233C12">
            <w:pPr>
              <w:rPr>
                <w:color w:val="000000" w:themeColor="text1"/>
                <w:sz w:val="16"/>
                <w:szCs w:val="16"/>
              </w:rPr>
            </w:pPr>
          </w:p>
        </w:tc>
        <w:tc>
          <w:tcPr>
            <w:tcW w:w="1417" w:type="dxa"/>
            <w:tcBorders>
              <w:top w:val="nil"/>
              <w:left w:val="nil"/>
              <w:bottom w:val="single" w:sz="4" w:space="0" w:color="auto"/>
              <w:right w:val="single" w:sz="4" w:space="0" w:color="auto"/>
            </w:tcBorders>
            <w:shd w:val="clear" w:color="auto" w:fill="auto"/>
            <w:hideMark/>
          </w:tcPr>
          <w:p w14:paraId="2C6DC920"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850" w:type="dxa"/>
            <w:tcBorders>
              <w:top w:val="nil"/>
              <w:left w:val="nil"/>
              <w:bottom w:val="single" w:sz="4" w:space="0" w:color="auto"/>
              <w:right w:val="single" w:sz="4" w:space="0" w:color="auto"/>
            </w:tcBorders>
            <w:shd w:val="clear" w:color="auto" w:fill="auto"/>
            <w:hideMark/>
          </w:tcPr>
          <w:p w14:paraId="0AC9ADEA" w14:textId="77777777" w:rsidR="00E02032" w:rsidRPr="004C209D" w:rsidRDefault="00E02032" w:rsidP="00233C12">
            <w:pPr>
              <w:rPr>
                <w:color w:val="000000" w:themeColor="text1"/>
                <w:sz w:val="16"/>
                <w:szCs w:val="16"/>
              </w:rPr>
            </w:pPr>
            <w:r w:rsidRPr="004C209D">
              <w:rPr>
                <w:color w:val="000000" w:themeColor="text1"/>
                <w:sz w:val="16"/>
                <w:szCs w:val="16"/>
              </w:rPr>
              <w:t>MSF-F</w:t>
            </w:r>
          </w:p>
        </w:tc>
        <w:tc>
          <w:tcPr>
            <w:tcW w:w="1276" w:type="dxa"/>
            <w:tcBorders>
              <w:top w:val="nil"/>
              <w:left w:val="nil"/>
              <w:bottom w:val="single" w:sz="4" w:space="0" w:color="auto"/>
              <w:right w:val="single" w:sz="4" w:space="0" w:color="auto"/>
            </w:tcBorders>
            <w:shd w:val="clear" w:color="auto" w:fill="auto"/>
            <w:hideMark/>
          </w:tcPr>
          <w:p w14:paraId="7621A2F3" w14:textId="77777777" w:rsidR="00E02032" w:rsidRPr="004C209D" w:rsidRDefault="00E02032" w:rsidP="00233C12">
            <w:pPr>
              <w:rPr>
                <w:color w:val="000000" w:themeColor="text1"/>
                <w:sz w:val="16"/>
                <w:szCs w:val="16"/>
              </w:rPr>
            </w:pPr>
            <w:r w:rsidRPr="004C209D">
              <w:rPr>
                <w:color w:val="000000" w:themeColor="text1"/>
                <w:sz w:val="16"/>
                <w:szCs w:val="16"/>
              </w:rPr>
              <w:t>MSF-F</w:t>
            </w:r>
          </w:p>
        </w:tc>
        <w:tc>
          <w:tcPr>
            <w:tcW w:w="708" w:type="dxa"/>
            <w:tcBorders>
              <w:top w:val="nil"/>
              <w:left w:val="nil"/>
              <w:bottom w:val="single" w:sz="4" w:space="0" w:color="auto"/>
              <w:right w:val="single" w:sz="4" w:space="0" w:color="auto"/>
            </w:tcBorders>
            <w:shd w:val="clear" w:color="auto" w:fill="auto"/>
            <w:hideMark/>
          </w:tcPr>
          <w:p w14:paraId="03754648"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4515F154" w14:textId="77777777" w:rsidR="00E02032" w:rsidRPr="004C209D" w:rsidRDefault="00E02032" w:rsidP="00233C12">
            <w:pPr>
              <w:rPr>
                <w:color w:val="000000" w:themeColor="text1"/>
                <w:sz w:val="16"/>
                <w:szCs w:val="16"/>
              </w:rPr>
            </w:pPr>
            <w:r w:rsidRPr="004C209D">
              <w:rPr>
                <w:color w:val="000000" w:themeColor="text1"/>
                <w:sz w:val="16"/>
                <w:szCs w:val="16"/>
              </w:rPr>
              <w:t> </w:t>
            </w:r>
          </w:p>
        </w:tc>
      </w:tr>
      <w:tr w:rsidR="00E02032" w:rsidRPr="004C209D" w14:paraId="15407E9A"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77C698C2"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18DF3541"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460AABF2" w14:textId="77777777" w:rsidR="00E02032" w:rsidRPr="004C209D" w:rsidRDefault="00E02032" w:rsidP="00233C12">
            <w:pPr>
              <w:rPr>
                <w:color w:val="000000" w:themeColor="text1"/>
                <w:sz w:val="16"/>
                <w:szCs w:val="16"/>
              </w:rPr>
            </w:pPr>
            <w:r w:rsidRPr="004C209D">
              <w:rPr>
                <w:color w:val="000000" w:themeColor="text1"/>
                <w:sz w:val="16"/>
                <w:szCs w:val="16"/>
              </w:rPr>
              <w:t>YALINGA </w:t>
            </w:r>
          </w:p>
        </w:tc>
        <w:tc>
          <w:tcPr>
            <w:tcW w:w="1560" w:type="dxa"/>
            <w:vMerge/>
            <w:tcBorders>
              <w:top w:val="nil"/>
              <w:left w:val="single" w:sz="4" w:space="0" w:color="auto"/>
              <w:bottom w:val="single" w:sz="4" w:space="0" w:color="auto"/>
              <w:right w:val="single" w:sz="4" w:space="0" w:color="auto"/>
            </w:tcBorders>
            <w:shd w:val="clear" w:color="auto" w:fill="auto"/>
            <w:vAlign w:val="center"/>
            <w:hideMark/>
          </w:tcPr>
          <w:p w14:paraId="227338A2" w14:textId="77777777" w:rsidR="00E02032" w:rsidRPr="004C209D" w:rsidRDefault="00E02032" w:rsidP="00233C12">
            <w:pPr>
              <w:rPr>
                <w:color w:val="000000" w:themeColor="text1"/>
                <w:sz w:val="16"/>
                <w:szCs w:val="16"/>
              </w:rPr>
            </w:pPr>
          </w:p>
        </w:tc>
        <w:tc>
          <w:tcPr>
            <w:tcW w:w="1417" w:type="dxa"/>
            <w:tcBorders>
              <w:top w:val="nil"/>
              <w:left w:val="nil"/>
              <w:bottom w:val="single" w:sz="4" w:space="0" w:color="auto"/>
              <w:right w:val="single" w:sz="4" w:space="0" w:color="auto"/>
            </w:tcBorders>
            <w:shd w:val="clear" w:color="auto" w:fill="auto"/>
            <w:hideMark/>
          </w:tcPr>
          <w:p w14:paraId="395070E6"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850" w:type="dxa"/>
            <w:tcBorders>
              <w:top w:val="nil"/>
              <w:left w:val="nil"/>
              <w:bottom w:val="single" w:sz="4" w:space="0" w:color="auto"/>
              <w:right w:val="single" w:sz="4" w:space="0" w:color="auto"/>
            </w:tcBorders>
            <w:shd w:val="clear" w:color="auto" w:fill="auto"/>
            <w:hideMark/>
          </w:tcPr>
          <w:p w14:paraId="5E07FD6C"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7391F837"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708" w:type="dxa"/>
            <w:tcBorders>
              <w:top w:val="nil"/>
              <w:left w:val="nil"/>
              <w:bottom w:val="single" w:sz="4" w:space="0" w:color="auto"/>
              <w:right w:val="single" w:sz="4" w:space="0" w:color="auto"/>
            </w:tcBorders>
            <w:shd w:val="clear" w:color="auto" w:fill="auto"/>
            <w:hideMark/>
          </w:tcPr>
          <w:p w14:paraId="41EC49F8"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20DE8FD4" w14:textId="77777777" w:rsidR="00E02032" w:rsidRPr="004C209D" w:rsidRDefault="00E02032" w:rsidP="00233C12">
            <w:pPr>
              <w:rPr>
                <w:color w:val="000000" w:themeColor="text1"/>
                <w:sz w:val="16"/>
                <w:szCs w:val="16"/>
              </w:rPr>
            </w:pPr>
            <w:r w:rsidRPr="004C209D">
              <w:rPr>
                <w:color w:val="000000" w:themeColor="text1"/>
                <w:sz w:val="16"/>
                <w:szCs w:val="16"/>
              </w:rPr>
              <w:t> </w:t>
            </w:r>
          </w:p>
        </w:tc>
      </w:tr>
      <w:tr w:rsidR="00E02032" w:rsidRPr="00102959" w14:paraId="31AE7B9A"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66459177"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15EA72ED"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5E47A8C4" w14:textId="77777777" w:rsidR="00E02032" w:rsidRPr="00105641" w:rsidRDefault="00E02032" w:rsidP="00233C12">
            <w:pPr>
              <w:rPr>
                <w:color w:val="000000" w:themeColor="text1"/>
                <w:sz w:val="16"/>
                <w:szCs w:val="16"/>
                <w:lang w:val="en-US"/>
              </w:rPr>
            </w:pPr>
            <w:r w:rsidRPr="00105641">
              <w:rPr>
                <w:color w:val="000000" w:themeColor="text1"/>
                <w:sz w:val="16"/>
                <w:szCs w:val="16"/>
                <w:lang w:val="en-US"/>
              </w:rPr>
              <w:t>Sam-Ouandjia (not sous prefecture)</w:t>
            </w:r>
          </w:p>
        </w:tc>
        <w:tc>
          <w:tcPr>
            <w:tcW w:w="1560" w:type="dxa"/>
            <w:vMerge/>
            <w:tcBorders>
              <w:top w:val="nil"/>
              <w:left w:val="single" w:sz="4" w:space="0" w:color="auto"/>
              <w:bottom w:val="single" w:sz="4" w:space="0" w:color="auto"/>
              <w:right w:val="single" w:sz="4" w:space="0" w:color="auto"/>
            </w:tcBorders>
            <w:shd w:val="clear" w:color="auto" w:fill="auto"/>
            <w:vAlign w:val="center"/>
            <w:hideMark/>
          </w:tcPr>
          <w:p w14:paraId="7E2249A8" w14:textId="77777777" w:rsidR="00E02032" w:rsidRPr="00105641" w:rsidRDefault="00E02032" w:rsidP="00233C12">
            <w:pPr>
              <w:rPr>
                <w:color w:val="000000" w:themeColor="text1"/>
                <w:sz w:val="16"/>
                <w:szCs w:val="16"/>
                <w:lang w:val="en-US"/>
              </w:rPr>
            </w:pPr>
          </w:p>
        </w:tc>
        <w:tc>
          <w:tcPr>
            <w:tcW w:w="1417" w:type="dxa"/>
            <w:tcBorders>
              <w:top w:val="nil"/>
              <w:left w:val="nil"/>
              <w:bottom w:val="single" w:sz="4" w:space="0" w:color="auto"/>
              <w:right w:val="single" w:sz="4" w:space="0" w:color="auto"/>
            </w:tcBorders>
            <w:shd w:val="clear" w:color="auto" w:fill="auto"/>
            <w:hideMark/>
          </w:tcPr>
          <w:p w14:paraId="0470A5CD" w14:textId="77777777" w:rsidR="00E02032" w:rsidRPr="00105641" w:rsidRDefault="00E02032" w:rsidP="00233C12">
            <w:pPr>
              <w:rPr>
                <w:color w:val="000000" w:themeColor="text1"/>
                <w:sz w:val="16"/>
                <w:szCs w:val="16"/>
                <w:lang w:val="en-US"/>
              </w:rPr>
            </w:pPr>
            <w:r w:rsidRPr="00105641">
              <w:rPr>
                <w:color w:val="000000" w:themeColor="text1"/>
                <w:sz w:val="16"/>
                <w:szCs w:val="16"/>
                <w:lang w:val="en-US"/>
              </w:rPr>
              <w:t> </w:t>
            </w:r>
          </w:p>
        </w:tc>
        <w:tc>
          <w:tcPr>
            <w:tcW w:w="850" w:type="dxa"/>
            <w:tcBorders>
              <w:top w:val="nil"/>
              <w:left w:val="nil"/>
              <w:bottom w:val="single" w:sz="4" w:space="0" w:color="auto"/>
              <w:right w:val="single" w:sz="4" w:space="0" w:color="auto"/>
            </w:tcBorders>
            <w:shd w:val="clear" w:color="auto" w:fill="auto"/>
            <w:hideMark/>
          </w:tcPr>
          <w:p w14:paraId="70954F02" w14:textId="77777777" w:rsidR="00E02032" w:rsidRPr="00105641" w:rsidRDefault="00E02032" w:rsidP="00233C12">
            <w:pPr>
              <w:rPr>
                <w:color w:val="000000" w:themeColor="text1"/>
                <w:sz w:val="16"/>
                <w:szCs w:val="16"/>
                <w:lang w:val="en-US"/>
              </w:rPr>
            </w:pPr>
            <w:r w:rsidRPr="00105641">
              <w:rPr>
                <w:color w:val="000000" w:themeColor="text1"/>
                <w:sz w:val="16"/>
                <w:szCs w:val="16"/>
                <w:lang w:val="en-US"/>
              </w:rPr>
              <w:t> </w:t>
            </w:r>
          </w:p>
        </w:tc>
        <w:tc>
          <w:tcPr>
            <w:tcW w:w="1276" w:type="dxa"/>
            <w:tcBorders>
              <w:top w:val="nil"/>
              <w:left w:val="nil"/>
              <w:bottom w:val="single" w:sz="4" w:space="0" w:color="auto"/>
              <w:right w:val="single" w:sz="4" w:space="0" w:color="auto"/>
            </w:tcBorders>
            <w:shd w:val="clear" w:color="auto" w:fill="auto"/>
            <w:hideMark/>
          </w:tcPr>
          <w:p w14:paraId="2B050001" w14:textId="77777777" w:rsidR="00E02032" w:rsidRPr="00105641" w:rsidRDefault="00E02032" w:rsidP="00233C12">
            <w:pPr>
              <w:rPr>
                <w:color w:val="000000" w:themeColor="text1"/>
                <w:sz w:val="16"/>
                <w:szCs w:val="16"/>
                <w:lang w:val="en-US"/>
              </w:rPr>
            </w:pPr>
            <w:r w:rsidRPr="00105641">
              <w:rPr>
                <w:color w:val="000000" w:themeColor="text1"/>
                <w:sz w:val="16"/>
                <w:szCs w:val="16"/>
                <w:lang w:val="en-US"/>
              </w:rPr>
              <w:t> </w:t>
            </w:r>
          </w:p>
        </w:tc>
        <w:tc>
          <w:tcPr>
            <w:tcW w:w="708" w:type="dxa"/>
            <w:tcBorders>
              <w:top w:val="nil"/>
              <w:left w:val="nil"/>
              <w:bottom w:val="single" w:sz="4" w:space="0" w:color="auto"/>
              <w:right w:val="single" w:sz="4" w:space="0" w:color="auto"/>
            </w:tcBorders>
            <w:shd w:val="clear" w:color="auto" w:fill="auto"/>
            <w:hideMark/>
          </w:tcPr>
          <w:p w14:paraId="79DDFF00" w14:textId="77777777" w:rsidR="00E02032" w:rsidRPr="00105641" w:rsidRDefault="00E02032" w:rsidP="00233C12">
            <w:pPr>
              <w:rPr>
                <w:color w:val="000000" w:themeColor="text1"/>
                <w:sz w:val="16"/>
                <w:szCs w:val="16"/>
                <w:lang w:val="en-US"/>
              </w:rPr>
            </w:pPr>
            <w:r w:rsidRPr="00105641">
              <w:rPr>
                <w:color w:val="000000" w:themeColor="text1"/>
                <w:sz w:val="16"/>
                <w:szCs w:val="16"/>
                <w:lang w:val="en-US"/>
              </w:rPr>
              <w:t> </w:t>
            </w:r>
          </w:p>
        </w:tc>
        <w:tc>
          <w:tcPr>
            <w:tcW w:w="1276" w:type="dxa"/>
            <w:tcBorders>
              <w:top w:val="nil"/>
              <w:left w:val="nil"/>
              <w:bottom w:val="single" w:sz="4" w:space="0" w:color="auto"/>
              <w:right w:val="single" w:sz="4" w:space="0" w:color="auto"/>
            </w:tcBorders>
            <w:shd w:val="clear" w:color="auto" w:fill="auto"/>
            <w:hideMark/>
          </w:tcPr>
          <w:p w14:paraId="548C9EA1" w14:textId="77777777" w:rsidR="00E02032" w:rsidRPr="00105641" w:rsidRDefault="00E02032" w:rsidP="00233C12">
            <w:pPr>
              <w:rPr>
                <w:color w:val="000000" w:themeColor="text1"/>
                <w:sz w:val="16"/>
                <w:szCs w:val="16"/>
                <w:lang w:val="en-US"/>
              </w:rPr>
            </w:pPr>
            <w:r w:rsidRPr="00105641">
              <w:rPr>
                <w:color w:val="000000" w:themeColor="text1"/>
                <w:sz w:val="16"/>
                <w:szCs w:val="16"/>
                <w:lang w:val="en-US"/>
              </w:rPr>
              <w:t> </w:t>
            </w:r>
          </w:p>
        </w:tc>
      </w:tr>
      <w:tr w:rsidR="00E02032" w:rsidRPr="004C209D" w14:paraId="3D7B1787"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0DC8991E" w14:textId="77777777" w:rsidR="00E02032" w:rsidRPr="00105641" w:rsidRDefault="00E02032" w:rsidP="00233C12">
            <w:pPr>
              <w:rPr>
                <w:b/>
                <w:bCs/>
                <w:color w:val="000000"/>
                <w:sz w:val="16"/>
                <w:szCs w:val="16"/>
                <w:lang w:val="en-US"/>
              </w:rPr>
            </w:pP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63A6C307" w14:textId="77777777" w:rsidR="00E02032" w:rsidRPr="004C209D" w:rsidRDefault="00E02032" w:rsidP="00233C12">
            <w:pPr>
              <w:rPr>
                <w:color w:val="000000" w:themeColor="text1"/>
                <w:sz w:val="16"/>
                <w:szCs w:val="16"/>
              </w:rPr>
            </w:pPr>
            <w:r w:rsidRPr="004C209D">
              <w:rPr>
                <w:color w:val="000000" w:themeColor="text1"/>
                <w:sz w:val="16"/>
                <w:szCs w:val="16"/>
              </w:rPr>
              <w:t>VAKAGA </w:t>
            </w:r>
          </w:p>
        </w:tc>
        <w:tc>
          <w:tcPr>
            <w:tcW w:w="1418" w:type="dxa"/>
            <w:tcBorders>
              <w:top w:val="nil"/>
              <w:left w:val="nil"/>
              <w:bottom w:val="single" w:sz="4" w:space="0" w:color="auto"/>
              <w:right w:val="single" w:sz="4" w:space="0" w:color="auto"/>
            </w:tcBorders>
            <w:shd w:val="clear" w:color="auto" w:fill="auto"/>
            <w:hideMark/>
          </w:tcPr>
          <w:p w14:paraId="0F94C70D" w14:textId="77777777" w:rsidR="00E02032" w:rsidRPr="004C209D" w:rsidRDefault="00E02032" w:rsidP="00233C12">
            <w:pPr>
              <w:rPr>
                <w:color w:val="000000" w:themeColor="text1"/>
                <w:sz w:val="16"/>
                <w:szCs w:val="16"/>
              </w:rPr>
            </w:pPr>
            <w:r w:rsidRPr="004C209D">
              <w:rPr>
                <w:color w:val="000000" w:themeColor="text1"/>
                <w:sz w:val="16"/>
                <w:szCs w:val="16"/>
              </w:rPr>
              <w:t>BIRAO </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14:paraId="59A4F997" w14:textId="77777777" w:rsidR="00E02032" w:rsidRPr="004C209D" w:rsidRDefault="00E02032" w:rsidP="00233C12">
            <w:pPr>
              <w:rPr>
                <w:color w:val="000000" w:themeColor="text1"/>
                <w:sz w:val="16"/>
                <w:szCs w:val="16"/>
              </w:rPr>
            </w:pPr>
            <w:r w:rsidRPr="004C209D">
              <w:rPr>
                <w:color w:val="000000" w:themeColor="text1"/>
                <w:sz w:val="16"/>
                <w:szCs w:val="16"/>
              </w:rPr>
              <w:t>DS. 5.2 VAKAGA </w:t>
            </w:r>
          </w:p>
        </w:tc>
        <w:tc>
          <w:tcPr>
            <w:tcW w:w="1417" w:type="dxa"/>
            <w:tcBorders>
              <w:top w:val="nil"/>
              <w:left w:val="nil"/>
              <w:bottom w:val="single" w:sz="4" w:space="0" w:color="auto"/>
              <w:right w:val="single" w:sz="4" w:space="0" w:color="auto"/>
            </w:tcBorders>
            <w:shd w:val="clear" w:color="auto" w:fill="auto"/>
            <w:hideMark/>
          </w:tcPr>
          <w:p w14:paraId="2907F4B7" w14:textId="77777777" w:rsidR="00E02032" w:rsidRPr="004C209D" w:rsidRDefault="00E02032" w:rsidP="00233C12">
            <w:pPr>
              <w:rPr>
                <w:color w:val="000000" w:themeColor="text1"/>
                <w:sz w:val="16"/>
                <w:szCs w:val="16"/>
              </w:rPr>
            </w:pPr>
            <w:r w:rsidRPr="004C209D">
              <w:rPr>
                <w:color w:val="000000" w:themeColor="text1"/>
                <w:sz w:val="16"/>
                <w:szCs w:val="16"/>
              </w:rPr>
              <w:t>OXFAM, PLAN, EDEN</w:t>
            </w:r>
          </w:p>
        </w:tc>
        <w:tc>
          <w:tcPr>
            <w:tcW w:w="850" w:type="dxa"/>
            <w:tcBorders>
              <w:top w:val="nil"/>
              <w:left w:val="nil"/>
              <w:bottom w:val="single" w:sz="4" w:space="0" w:color="auto"/>
              <w:right w:val="single" w:sz="4" w:space="0" w:color="auto"/>
            </w:tcBorders>
            <w:shd w:val="clear" w:color="auto" w:fill="auto"/>
            <w:hideMark/>
          </w:tcPr>
          <w:p w14:paraId="3143E8AC" w14:textId="77777777" w:rsidR="00E02032" w:rsidRPr="004C209D" w:rsidRDefault="00E02032" w:rsidP="00233C12">
            <w:pPr>
              <w:rPr>
                <w:color w:val="000000" w:themeColor="text1"/>
                <w:sz w:val="16"/>
                <w:szCs w:val="16"/>
              </w:rPr>
            </w:pPr>
            <w:r w:rsidRPr="004C209D">
              <w:rPr>
                <w:color w:val="000000" w:themeColor="text1"/>
                <w:sz w:val="16"/>
                <w:szCs w:val="16"/>
              </w:rPr>
              <w:t>IMC, EDEN</w:t>
            </w:r>
          </w:p>
        </w:tc>
        <w:tc>
          <w:tcPr>
            <w:tcW w:w="1276" w:type="dxa"/>
            <w:tcBorders>
              <w:top w:val="nil"/>
              <w:left w:val="nil"/>
              <w:bottom w:val="single" w:sz="4" w:space="0" w:color="auto"/>
              <w:right w:val="single" w:sz="4" w:space="0" w:color="auto"/>
            </w:tcBorders>
            <w:shd w:val="clear" w:color="auto" w:fill="auto"/>
            <w:hideMark/>
          </w:tcPr>
          <w:p w14:paraId="1541E04F" w14:textId="77777777" w:rsidR="00E02032" w:rsidRPr="004C209D" w:rsidRDefault="00E02032" w:rsidP="00233C12">
            <w:pPr>
              <w:rPr>
                <w:color w:val="000000" w:themeColor="text1"/>
                <w:sz w:val="16"/>
                <w:szCs w:val="16"/>
              </w:rPr>
            </w:pPr>
            <w:r w:rsidRPr="004C209D">
              <w:rPr>
                <w:color w:val="000000" w:themeColor="text1"/>
                <w:sz w:val="16"/>
                <w:szCs w:val="16"/>
              </w:rPr>
              <w:t>PLAN</w:t>
            </w:r>
          </w:p>
        </w:tc>
        <w:tc>
          <w:tcPr>
            <w:tcW w:w="708" w:type="dxa"/>
            <w:tcBorders>
              <w:top w:val="nil"/>
              <w:left w:val="nil"/>
              <w:bottom w:val="single" w:sz="4" w:space="0" w:color="auto"/>
              <w:right w:val="single" w:sz="4" w:space="0" w:color="auto"/>
            </w:tcBorders>
            <w:shd w:val="clear" w:color="auto" w:fill="auto"/>
            <w:hideMark/>
          </w:tcPr>
          <w:p w14:paraId="1B46F7AA"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0C97FABF" w14:textId="77777777" w:rsidR="00E02032" w:rsidRPr="004C209D" w:rsidRDefault="00E02032" w:rsidP="00233C12">
            <w:pPr>
              <w:rPr>
                <w:color w:val="000000" w:themeColor="text1"/>
                <w:sz w:val="16"/>
                <w:szCs w:val="16"/>
              </w:rPr>
            </w:pPr>
            <w:r w:rsidRPr="004C209D">
              <w:rPr>
                <w:color w:val="000000" w:themeColor="text1"/>
                <w:sz w:val="16"/>
                <w:szCs w:val="16"/>
              </w:rPr>
              <w:t>PLAN</w:t>
            </w:r>
          </w:p>
        </w:tc>
      </w:tr>
      <w:tr w:rsidR="00E02032" w:rsidRPr="004C209D" w14:paraId="14A74D64"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36425AFA"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2AA906DB"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3178D7D3" w14:textId="77777777" w:rsidR="00E02032" w:rsidRPr="004C209D" w:rsidRDefault="00E02032" w:rsidP="00233C12">
            <w:pPr>
              <w:rPr>
                <w:color w:val="000000" w:themeColor="text1"/>
                <w:sz w:val="16"/>
                <w:szCs w:val="16"/>
              </w:rPr>
            </w:pPr>
            <w:r w:rsidRPr="004C209D">
              <w:rPr>
                <w:color w:val="000000" w:themeColor="text1"/>
                <w:sz w:val="16"/>
                <w:szCs w:val="16"/>
              </w:rPr>
              <w:t>OUANDA-DJALLE </w:t>
            </w:r>
          </w:p>
        </w:tc>
        <w:tc>
          <w:tcPr>
            <w:tcW w:w="1560" w:type="dxa"/>
            <w:vMerge/>
            <w:tcBorders>
              <w:top w:val="nil"/>
              <w:left w:val="single" w:sz="4" w:space="0" w:color="auto"/>
              <w:bottom w:val="single" w:sz="4" w:space="0" w:color="auto"/>
              <w:right w:val="single" w:sz="4" w:space="0" w:color="auto"/>
            </w:tcBorders>
            <w:shd w:val="clear" w:color="auto" w:fill="auto"/>
            <w:vAlign w:val="center"/>
            <w:hideMark/>
          </w:tcPr>
          <w:p w14:paraId="03FC9272" w14:textId="77777777" w:rsidR="00E02032" w:rsidRPr="004C209D" w:rsidRDefault="00E02032" w:rsidP="00233C12">
            <w:pPr>
              <w:rPr>
                <w:color w:val="000000" w:themeColor="text1"/>
                <w:sz w:val="16"/>
                <w:szCs w:val="16"/>
              </w:rPr>
            </w:pPr>
          </w:p>
        </w:tc>
        <w:tc>
          <w:tcPr>
            <w:tcW w:w="1417" w:type="dxa"/>
            <w:tcBorders>
              <w:top w:val="nil"/>
              <w:left w:val="nil"/>
              <w:bottom w:val="single" w:sz="4" w:space="0" w:color="auto"/>
              <w:right w:val="single" w:sz="4" w:space="0" w:color="auto"/>
            </w:tcBorders>
            <w:shd w:val="clear" w:color="auto" w:fill="auto"/>
            <w:hideMark/>
          </w:tcPr>
          <w:p w14:paraId="0B8ADC42"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850" w:type="dxa"/>
            <w:tcBorders>
              <w:top w:val="nil"/>
              <w:left w:val="nil"/>
              <w:bottom w:val="single" w:sz="4" w:space="0" w:color="auto"/>
              <w:right w:val="single" w:sz="4" w:space="0" w:color="auto"/>
            </w:tcBorders>
            <w:shd w:val="clear" w:color="auto" w:fill="auto"/>
            <w:hideMark/>
          </w:tcPr>
          <w:p w14:paraId="69309655"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08042A3A"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708" w:type="dxa"/>
            <w:tcBorders>
              <w:top w:val="nil"/>
              <w:left w:val="nil"/>
              <w:bottom w:val="single" w:sz="4" w:space="0" w:color="auto"/>
              <w:right w:val="single" w:sz="4" w:space="0" w:color="auto"/>
            </w:tcBorders>
            <w:shd w:val="clear" w:color="auto" w:fill="auto"/>
            <w:hideMark/>
          </w:tcPr>
          <w:p w14:paraId="22D4A367"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528D5FF6" w14:textId="77777777" w:rsidR="00E02032" w:rsidRPr="004C209D" w:rsidRDefault="00E02032" w:rsidP="00233C12">
            <w:pPr>
              <w:rPr>
                <w:color w:val="000000" w:themeColor="text1"/>
                <w:sz w:val="16"/>
                <w:szCs w:val="16"/>
              </w:rPr>
            </w:pPr>
            <w:r w:rsidRPr="004C209D">
              <w:rPr>
                <w:color w:val="000000" w:themeColor="text1"/>
                <w:sz w:val="16"/>
                <w:szCs w:val="16"/>
              </w:rPr>
              <w:t> </w:t>
            </w:r>
          </w:p>
        </w:tc>
      </w:tr>
      <w:tr w:rsidR="00E02032" w:rsidRPr="004C209D" w14:paraId="025B2813"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7150B3D1" w14:textId="77777777" w:rsidR="00E02032" w:rsidRPr="004C209D" w:rsidRDefault="00E02032" w:rsidP="00233C12">
            <w:pPr>
              <w:rPr>
                <w:b/>
                <w:bCs/>
                <w:color w:val="000000"/>
                <w:sz w:val="16"/>
                <w:szCs w:val="16"/>
              </w:rPr>
            </w:pP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400F457F" w14:textId="77777777" w:rsidR="00E02032" w:rsidRPr="004C209D" w:rsidRDefault="00E02032" w:rsidP="00233C12">
            <w:pPr>
              <w:rPr>
                <w:color w:val="000000" w:themeColor="text1"/>
                <w:sz w:val="16"/>
                <w:szCs w:val="16"/>
              </w:rPr>
            </w:pPr>
            <w:r w:rsidRPr="004C209D">
              <w:rPr>
                <w:color w:val="000000" w:themeColor="text1"/>
                <w:sz w:val="16"/>
                <w:szCs w:val="16"/>
              </w:rPr>
              <w:t>BAMINGUI-BANGORAN</w:t>
            </w:r>
          </w:p>
        </w:tc>
        <w:tc>
          <w:tcPr>
            <w:tcW w:w="1418" w:type="dxa"/>
            <w:tcBorders>
              <w:top w:val="nil"/>
              <w:left w:val="nil"/>
              <w:bottom w:val="single" w:sz="4" w:space="0" w:color="auto"/>
              <w:right w:val="single" w:sz="4" w:space="0" w:color="auto"/>
            </w:tcBorders>
            <w:shd w:val="clear" w:color="auto" w:fill="auto"/>
            <w:hideMark/>
          </w:tcPr>
          <w:p w14:paraId="24E9FA9F" w14:textId="77777777" w:rsidR="00E02032" w:rsidRPr="004C209D" w:rsidRDefault="00E02032" w:rsidP="00233C12">
            <w:pPr>
              <w:rPr>
                <w:color w:val="000000" w:themeColor="text1"/>
                <w:sz w:val="16"/>
                <w:szCs w:val="16"/>
              </w:rPr>
            </w:pPr>
            <w:r w:rsidRPr="004C209D">
              <w:rPr>
                <w:color w:val="000000" w:themeColor="text1"/>
                <w:sz w:val="16"/>
                <w:szCs w:val="16"/>
              </w:rPr>
              <w:t>BAMINGUI </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14:paraId="3F40654D" w14:textId="77777777" w:rsidR="00E02032" w:rsidRPr="004C209D" w:rsidRDefault="00E02032" w:rsidP="00233C12">
            <w:pPr>
              <w:rPr>
                <w:color w:val="000000" w:themeColor="text1"/>
                <w:sz w:val="16"/>
                <w:szCs w:val="16"/>
              </w:rPr>
            </w:pPr>
            <w:r w:rsidRPr="004C209D">
              <w:rPr>
                <w:color w:val="000000" w:themeColor="text1"/>
                <w:sz w:val="16"/>
                <w:szCs w:val="16"/>
              </w:rPr>
              <w:t>DS. 5.3 BAMINGUI-BANGORAN</w:t>
            </w:r>
          </w:p>
        </w:tc>
        <w:tc>
          <w:tcPr>
            <w:tcW w:w="1417" w:type="dxa"/>
            <w:tcBorders>
              <w:top w:val="nil"/>
              <w:left w:val="nil"/>
              <w:bottom w:val="single" w:sz="4" w:space="0" w:color="auto"/>
              <w:right w:val="single" w:sz="4" w:space="0" w:color="auto"/>
            </w:tcBorders>
            <w:shd w:val="clear" w:color="auto" w:fill="auto"/>
            <w:hideMark/>
          </w:tcPr>
          <w:p w14:paraId="247B1603"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850" w:type="dxa"/>
            <w:tcBorders>
              <w:top w:val="nil"/>
              <w:left w:val="nil"/>
              <w:bottom w:val="single" w:sz="4" w:space="0" w:color="auto"/>
              <w:right w:val="single" w:sz="4" w:space="0" w:color="auto"/>
            </w:tcBorders>
            <w:shd w:val="clear" w:color="auto" w:fill="auto"/>
            <w:hideMark/>
          </w:tcPr>
          <w:p w14:paraId="21083F2B"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546C1270"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708" w:type="dxa"/>
            <w:tcBorders>
              <w:top w:val="nil"/>
              <w:left w:val="nil"/>
              <w:bottom w:val="single" w:sz="4" w:space="0" w:color="auto"/>
              <w:right w:val="single" w:sz="4" w:space="0" w:color="auto"/>
            </w:tcBorders>
            <w:shd w:val="clear" w:color="auto" w:fill="auto"/>
            <w:hideMark/>
          </w:tcPr>
          <w:p w14:paraId="510C26E8"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5A3D726A" w14:textId="77777777" w:rsidR="00E02032" w:rsidRPr="004C209D" w:rsidRDefault="00E02032" w:rsidP="00233C12">
            <w:pPr>
              <w:rPr>
                <w:color w:val="000000" w:themeColor="text1"/>
                <w:sz w:val="16"/>
                <w:szCs w:val="16"/>
              </w:rPr>
            </w:pPr>
            <w:r w:rsidRPr="004C209D">
              <w:rPr>
                <w:color w:val="000000" w:themeColor="text1"/>
                <w:sz w:val="16"/>
                <w:szCs w:val="16"/>
              </w:rPr>
              <w:t> </w:t>
            </w:r>
          </w:p>
        </w:tc>
      </w:tr>
      <w:tr w:rsidR="00E02032" w:rsidRPr="004C209D" w14:paraId="11BD8BCD"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7E1D1307"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3C6FE13E"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2B20CF15" w14:textId="77777777" w:rsidR="00E02032" w:rsidRPr="004C209D" w:rsidRDefault="00E02032" w:rsidP="00233C12">
            <w:pPr>
              <w:rPr>
                <w:color w:val="000000" w:themeColor="text1"/>
                <w:sz w:val="16"/>
                <w:szCs w:val="16"/>
              </w:rPr>
            </w:pPr>
            <w:r w:rsidRPr="004C209D">
              <w:rPr>
                <w:color w:val="000000" w:themeColor="text1"/>
                <w:sz w:val="16"/>
                <w:szCs w:val="16"/>
              </w:rPr>
              <w:t>NDELE </w:t>
            </w:r>
          </w:p>
        </w:tc>
        <w:tc>
          <w:tcPr>
            <w:tcW w:w="1560" w:type="dxa"/>
            <w:vMerge/>
            <w:tcBorders>
              <w:top w:val="nil"/>
              <w:left w:val="single" w:sz="4" w:space="0" w:color="auto"/>
              <w:bottom w:val="single" w:sz="4" w:space="0" w:color="auto"/>
              <w:right w:val="single" w:sz="4" w:space="0" w:color="auto"/>
            </w:tcBorders>
            <w:shd w:val="clear" w:color="auto" w:fill="auto"/>
            <w:vAlign w:val="center"/>
            <w:hideMark/>
          </w:tcPr>
          <w:p w14:paraId="24B51E04" w14:textId="77777777" w:rsidR="00E02032" w:rsidRPr="004C209D" w:rsidRDefault="00E02032" w:rsidP="00233C12">
            <w:pPr>
              <w:rPr>
                <w:color w:val="000000" w:themeColor="text1"/>
                <w:sz w:val="16"/>
                <w:szCs w:val="16"/>
              </w:rPr>
            </w:pPr>
          </w:p>
        </w:tc>
        <w:tc>
          <w:tcPr>
            <w:tcW w:w="1417" w:type="dxa"/>
            <w:tcBorders>
              <w:top w:val="nil"/>
              <w:left w:val="nil"/>
              <w:bottom w:val="single" w:sz="4" w:space="0" w:color="auto"/>
              <w:right w:val="single" w:sz="4" w:space="0" w:color="auto"/>
            </w:tcBorders>
            <w:shd w:val="clear" w:color="auto" w:fill="auto"/>
            <w:hideMark/>
          </w:tcPr>
          <w:p w14:paraId="534D3A92" w14:textId="77777777" w:rsidR="00E02032" w:rsidRPr="004C209D" w:rsidRDefault="00E02032" w:rsidP="00233C12">
            <w:pPr>
              <w:rPr>
                <w:color w:val="000000" w:themeColor="text1"/>
                <w:sz w:val="16"/>
                <w:szCs w:val="16"/>
              </w:rPr>
            </w:pPr>
            <w:r w:rsidRPr="004C209D">
              <w:rPr>
                <w:color w:val="000000" w:themeColor="text1"/>
                <w:sz w:val="16"/>
                <w:szCs w:val="16"/>
              </w:rPr>
              <w:t>WC-UK</w:t>
            </w:r>
          </w:p>
        </w:tc>
        <w:tc>
          <w:tcPr>
            <w:tcW w:w="850" w:type="dxa"/>
            <w:tcBorders>
              <w:top w:val="nil"/>
              <w:left w:val="nil"/>
              <w:bottom w:val="single" w:sz="4" w:space="0" w:color="auto"/>
              <w:right w:val="single" w:sz="4" w:space="0" w:color="auto"/>
            </w:tcBorders>
            <w:shd w:val="clear" w:color="auto" w:fill="auto"/>
            <w:hideMark/>
          </w:tcPr>
          <w:p w14:paraId="54CCD8F1" w14:textId="77777777" w:rsidR="00E02032" w:rsidRPr="004C209D" w:rsidRDefault="00E02032" w:rsidP="00233C12">
            <w:pPr>
              <w:rPr>
                <w:color w:val="000000" w:themeColor="text1"/>
                <w:sz w:val="16"/>
                <w:szCs w:val="16"/>
              </w:rPr>
            </w:pPr>
            <w:r w:rsidRPr="004C209D">
              <w:rPr>
                <w:color w:val="000000" w:themeColor="text1"/>
                <w:sz w:val="16"/>
                <w:szCs w:val="16"/>
              </w:rPr>
              <w:t>MSF-S</w:t>
            </w:r>
          </w:p>
        </w:tc>
        <w:tc>
          <w:tcPr>
            <w:tcW w:w="1276" w:type="dxa"/>
            <w:tcBorders>
              <w:top w:val="nil"/>
              <w:left w:val="nil"/>
              <w:bottom w:val="single" w:sz="4" w:space="0" w:color="auto"/>
              <w:right w:val="single" w:sz="4" w:space="0" w:color="auto"/>
            </w:tcBorders>
            <w:shd w:val="clear" w:color="auto" w:fill="auto"/>
            <w:hideMark/>
          </w:tcPr>
          <w:p w14:paraId="51AB7097" w14:textId="77777777" w:rsidR="00E02032" w:rsidRPr="004C209D" w:rsidRDefault="00E02032" w:rsidP="00233C12">
            <w:pPr>
              <w:rPr>
                <w:color w:val="000000" w:themeColor="text1"/>
                <w:sz w:val="16"/>
                <w:szCs w:val="16"/>
              </w:rPr>
            </w:pPr>
            <w:r w:rsidRPr="004C209D">
              <w:rPr>
                <w:color w:val="000000" w:themeColor="text1"/>
                <w:sz w:val="16"/>
                <w:szCs w:val="16"/>
              </w:rPr>
              <w:t>WC-UK, MSF-S</w:t>
            </w:r>
          </w:p>
        </w:tc>
        <w:tc>
          <w:tcPr>
            <w:tcW w:w="708" w:type="dxa"/>
            <w:tcBorders>
              <w:top w:val="nil"/>
              <w:left w:val="nil"/>
              <w:bottom w:val="single" w:sz="4" w:space="0" w:color="auto"/>
              <w:right w:val="single" w:sz="4" w:space="0" w:color="auto"/>
            </w:tcBorders>
            <w:shd w:val="clear" w:color="auto" w:fill="auto"/>
            <w:hideMark/>
          </w:tcPr>
          <w:p w14:paraId="390B1EEE"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7AAE74A3" w14:textId="77777777" w:rsidR="00E02032" w:rsidRPr="004C209D" w:rsidRDefault="00E02032" w:rsidP="00233C12">
            <w:pPr>
              <w:rPr>
                <w:color w:val="000000" w:themeColor="text1"/>
                <w:sz w:val="16"/>
                <w:szCs w:val="16"/>
              </w:rPr>
            </w:pPr>
            <w:r w:rsidRPr="004C209D">
              <w:rPr>
                <w:color w:val="000000" w:themeColor="text1"/>
                <w:sz w:val="16"/>
                <w:szCs w:val="16"/>
              </w:rPr>
              <w:t>WC-UK</w:t>
            </w:r>
          </w:p>
        </w:tc>
      </w:tr>
      <w:tr w:rsidR="00E02032" w:rsidRPr="004C209D" w14:paraId="67FE2D6A" w14:textId="77777777" w:rsidTr="00233C12">
        <w:trPr>
          <w:trHeight w:val="20"/>
        </w:trPr>
        <w:tc>
          <w:tcPr>
            <w:tcW w:w="421"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2FA8F13E" w14:textId="77777777" w:rsidR="00E02032" w:rsidRPr="004C209D" w:rsidRDefault="00E02032" w:rsidP="00233C12">
            <w:pPr>
              <w:jc w:val="center"/>
              <w:rPr>
                <w:b/>
                <w:bCs/>
                <w:color w:val="000000"/>
                <w:sz w:val="16"/>
                <w:szCs w:val="16"/>
              </w:rPr>
            </w:pPr>
            <w:r w:rsidRPr="004C209D">
              <w:rPr>
                <w:b/>
                <w:bCs/>
                <w:color w:val="000000"/>
                <w:sz w:val="16"/>
                <w:szCs w:val="16"/>
              </w:rPr>
              <w:t>6 </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7F3BB315" w14:textId="77777777" w:rsidR="00E02032" w:rsidRPr="004C209D" w:rsidRDefault="00E02032" w:rsidP="00233C12">
            <w:pPr>
              <w:rPr>
                <w:color w:val="000000" w:themeColor="text1"/>
                <w:sz w:val="16"/>
                <w:szCs w:val="16"/>
              </w:rPr>
            </w:pPr>
            <w:r w:rsidRPr="004C209D">
              <w:rPr>
                <w:color w:val="000000" w:themeColor="text1"/>
                <w:sz w:val="16"/>
                <w:szCs w:val="16"/>
              </w:rPr>
              <w:t>BASSE-KOTTO </w:t>
            </w:r>
          </w:p>
        </w:tc>
        <w:tc>
          <w:tcPr>
            <w:tcW w:w="1418" w:type="dxa"/>
            <w:tcBorders>
              <w:top w:val="nil"/>
              <w:left w:val="nil"/>
              <w:bottom w:val="single" w:sz="4" w:space="0" w:color="auto"/>
              <w:right w:val="single" w:sz="4" w:space="0" w:color="auto"/>
            </w:tcBorders>
            <w:shd w:val="clear" w:color="auto" w:fill="auto"/>
            <w:hideMark/>
          </w:tcPr>
          <w:p w14:paraId="30522B7C" w14:textId="77777777" w:rsidR="00E02032" w:rsidRPr="004C209D" w:rsidRDefault="00E02032" w:rsidP="00233C12">
            <w:pPr>
              <w:rPr>
                <w:color w:val="000000" w:themeColor="text1"/>
                <w:sz w:val="16"/>
                <w:szCs w:val="16"/>
              </w:rPr>
            </w:pPr>
            <w:r w:rsidRPr="004C209D">
              <w:rPr>
                <w:color w:val="000000" w:themeColor="text1"/>
                <w:sz w:val="16"/>
                <w:szCs w:val="16"/>
              </w:rPr>
              <w:t>MOBAYE</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14:paraId="5B5AFB74" w14:textId="77777777" w:rsidR="00E02032" w:rsidRPr="004C209D" w:rsidRDefault="00E02032" w:rsidP="00233C12">
            <w:pPr>
              <w:rPr>
                <w:color w:val="000000" w:themeColor="text1"/>
                <w:sz w:val="16"/>
                <w:szCs w:val="16"/>
              </w:rPr>
            </w:pPr>
            <w:r w:rsidRPr="004C209D">
              <w:rPr>
                <w:color w:val="000000" w:themeColor="text1"/>
                <w:sz w:val="16"/>
                <w:szCs w:val="16"/>
              </w:rPr>
              <w:t>DS. 6.1 MOBAYE- ZANGBA</w:t>
            </w:r>
          </w:p>
        </w:tc>
        <w:tc>
          <w:tcPr>
            <w:tcW w:w="1417" w:type="dxa"/>
            <w:tcBorders>
              <w:top w:val="nil"/>
              <w:left w:val="nil"/>
              <w:bottom w:val="single" w:sz="4" w:space="0" w:color="auto"/>
              <w:right w:val="single" w:sz="4" w:space="0" w:color="auto"/>
            </w:tcBorders>
            <w:shd w:val="clear" w:color="auto" w:fill="auto"/>
            <w:hideMark/>
          </w:tcPr>
          <w:p w14:paraId="4C6D6EF3"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850" w:type="dxa"/>
            <w:tcBorders>
              <w:top w:val="nil"/>
              <w:left w:val="nil"/>
              <w:bottom w:val="single" w:sz="4" w:space="0" w:color="auto"/>
              <w:right w:val="single" w:sz="4" w:space="0" w:color="auto"/>
            </w:tcBorders>
            <w:shd w:val="clear" w:color="auto" w:fill="auto"/>
            <w:hideMark/>
          </w:tcPr>
          <w:p w14:paraId="1D464A01"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2C91C728"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708" w:type="dxa"/>
            <w:tcBorders>
              <w:top w:val="nil"/>
              <w:left w:val="nil"/>
              <w:bottom w:val="single" w:sz="4" w:space="0" w:color="auto"/>
              <w:right w:val="single" w:sz="4" w:space="0" w:color="auto"/>
            </w:tcBorders>
            <w:shd w:val="clear" w:color="auto" w:fill="auto"/>
            <w:hideMark/>
          </w:tcPr>
          <w:p w14:paraId="6F92053F"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4FE0392C" w14:textId="77777777" w:rsidR="00E02032" w:rsidRPr="004C209D" w:rsidRDefault="00E02032" w:rsidP="00233C12">
            <w:pPr>
              <w:rPr>
                <w:color w:val="000000" w:themeColor="text1"/>
                <w:sz w:val="16"/>
                <w:szCs w:val="16"/>
              </w:rPr>
            </w:pPr>
            <w:r w:rsidRPr="004C209D">
              <w:rPr>
                <w:color w:val="000000" w:themeColor="text1"/>
                <w:sz w:val="16"/>
                <w:szCs w:val="16"/>
              </w:rPr>
              <w:t> </w:t>
            </w:r>
          </w:p>
        </w:tc>
      </w:tr>
      <w:tr w:rsidR="00E02032" w:rsidRPr="004C209D" w14:paraId="5556C5B7"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1D2132F2"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1DAC35EC"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729D6790" w14:textId="77777777" w:rsidR="00E02032" w:rsidRPr="004C209D" w:rsidRDefault="00E02032" w:rsidP="00233C12">
            <w:pPr>
              <w:rPr>
                <w:color w:val="000000" w:themeColor="text1"/>
                <w:sz w:val="16"/>
                <w:szCs w:val="16"/>
              </w:rPr>
            </w:pPr>
            <w:r w:rsidRPr="004C209D">
              <w:rPr>
                <w:color w:val="000000" w:themeColor="text1"/>
                <w:sz w:val="16"/>
                <w:szCs w:val="16"/>
              </w:rPr>
              <w:t>ZANGBA </w:t>
            </w:r>
          </w:p>
        </w:tc>
        <w:tc>
          <w:tcPr>
            <w:tcW w:w="1560" w:type="dxa"/>
            <w:vMerge/>
            <w:tcBorders>
              <w:top w:val="nil"/>
              <w:left w:val="single" w:sz="4" w:space="0" w:color="auto"/>
              <w:bottom w:val="single" w:sz="4" w:space="0" w:color="auto"/>
              <w:right w:val="single" w:sz="4" w:space="0" w:color="auto"/>
            </w:tcBorders>
            <w:shd w:val="clear" w:color="auto" w:fill="auto"/>
            <w:vAlign w:val="center"/>
            <w:hideMark/>
          </w:tcPr>
          <w:p w14:paraId="1B9AEE6F" w14:textId="77777777" w:rsidR="00E02032" w:rsidRPr="004C209D" w:rsidRDefault="00E02032" w:rsidP="00233C12">
            <w:pPr>
              <w:rPr>
                <w:color w:val="000000" w:themeColor="text1"/>
                <w:sz w:val="16"/>
                <w:szCs w:val="16"/>
              </w:rPr>
            </w:pPr>
          </w:p>
        </w:tc>
        <w:tc>
          <w:tcPr>
            <w:tcW w:w="1417" w:type="dxa"/>
            <w:tcBorders>
              <w:top w:val="nil"/>
              <w:left w:val="nil"/>
              <w:bottom w:val="single" w:sz="4" w:space="0" w:color="auto"/>
              <w:right w:val="single" w:sz="4" w:space="0" w:color="auto"/>
            </w:tcBorders>
            <w:shd w:val="clear" w:color="auto" w:fill="auto"/>
            <w:hideMark/>
          </w:tcPr>
          <w:p w14:paraId="21B9DA30"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850" w:type="dxa"/>
            <w:tcBorders>
              <w:top w:val="nil"/>
              <w:left w:val="nil"/>
              <w:bottom w:val="single" w:sz="4" w:space="0" w:color="auto"/>
              <w:right w:val="single" w:sz="4" w:space="0" w:color="auto"/>
            </w:tcBorders>
            <w:shd w:val="clear" w:color="auto" w:fill="auto"/>
            <w:hideMark/>
          </w:tcPr>
          <w:p w14:paraId="71F43050"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3FEE54D7"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708" w:type="dxa"/>
            <w:tcBorders>
              <w:top w:val="nil"/>
              <w:left w:val="nil"/>
              <w:bottom w:val="single" w:sz="4" w:space="0" w:color="auto"/>
              <w:right w:val="single" w:sz="4" w:space="0" w:color="auto"/>
            </w:tcBorders>
            <w:shd w:val="clear" w:color="auto" w:fill="auto"/>
            <w:hideMark/>
          </w:tcPr>
          <w:p w14:paraId="3539859C"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7AC792C7" w14:textId="77777777" w:rsidR="00E02032" w:rsidRPr="004C209D" w:rsidRDefault="00E02032" w:rsidP="00233C12">
            <w:pPr>
              <w:rPr>
                <w:color w:val="000000" w:themeColor="text1"/>
                <w:sz w:val="16"/>
                <w:szCs w:val="16"/>
              </w:rPr>
            </w:pPr>
            <w:r w:rsidRPr="004C209D">
              <w:rPr>
                <w:color w:val="000000" w:themeColor="text1"/>
                <w:sz w:val="16"/>
                <w:szCs w:val="16"/>
              </w:rPr>
              <w:t> </w:t>
            </w:r>
          </w:p>
        </w:tc>
      </w:tr>
      <w:tr w:rsidR="00E02032" w:rsidRPr="004C209D" w14:paraId="06C3DFD5"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7CEBED32"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01F790B4"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1176EE7C" w14:textId="77777777" w:rsidR="00E02032" w:rsidRPr="004C209D" w:rsidRDefault="00E02032" w:rsidP="00233C12">
            <w:pPr>
              <w:rPr>
                <w:color w:val="000000" w:themeColor="text1"/>
                <w:sz w:val="16"/>
                <w:szCs w:val="16"/>
              </w:rPr>
            </w:pPr>
            <w:r w:rsidRPr="004C209D">
              <w:rPr>
                <w:color w:val="000000" w:themeColor="text1"/>
                <w:sz w:val="16"/>
                <w:szCs w:val="16"/>
              </w:rPr>
              <w:t>ALINDAO </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14:paraId="1AA7BB28" w14:textId="77777777" w:rsidR="00E02032" w:rsidRPr="004C209D" w:rsidRDefault="00E02032" w:rsidP="00233C12">
            <w:pPr>
              <w:rPr>
                <w:color w:val="000000" w:themeColor="text1"/>
                <w:sz w:val="16"/>
                <w:szCs w:val="16"/>
              </w:rPr>
            </w:pPr>
            <w:r w:rsidRPr="004C209D">
              <w:rPr>
                <w:color w:val="000000" w:themeColor="text1"/>
                <w:sz w:val="16"/>
                <w:szCs w:val="16"/>
              </w:rPr>
              <w:t>DS. 6.2 ALINDAO-MINGALA</w:t>
            </w:r>
          </w:p>
        </w:tc>
        <w:tc>
          <w:tcPr>
            <w:tcW w:w="1417" w:type="dxa"/>
            <w:tcBorders>
              <w:top w:val="nil"/>
              <w:left w:val="nil"/>
              <w:bottom w:val="single" w:sz="4" w:space="0" w:color="auto"/>
              <w:right w:val="single" w:sz="4" w:space="0" w:color="auto"/>
            </w:tcBorders>
            <w:shd w:val="clear" w:color="auto" w:fill="auto"/>
            <w:hideMark/>
          </w:tcPr>
          <w:p w14:paraId="2FC3A92D" w14:textId="77777777" w:rsidR="00E02032" w:rsidRPr="004C209D" w:rsidRDefault="00E02032" w:rsidP="00233C12">
            <w:pPr>
              <w:rPr>
                <w:color w:val="000000" w:themeColor="text1"/>
                <w:sz w:val="16"/>
                <w:szCs w:val="16"/>
              </w:rPr>
            </w:pPr>
            <w:r w:rsidRPr="004C209D">
              <w:rPr>
                <w:color w:val="000000" w:themeColor="text1"/>
                <w:sz w:val="16"/>
                <w:szCs w:val="16"/>
              </w:rPr>
              <w:t>COOPI</w:t>
            </w:r>
          </w:p>
        </w:tc>
        <w:tc>
          <w:tcPr>
            <w:tcW w:w="850" w:type="dxa"/>
            <w:tcBorders>
              <w:top w:val="nil"/>
              <w:left w:val="nil"/>
              <w:bottom w:val="single" w:sz="4" w:space="0" w:color="auto"/>
              <w:right w:val="single" w:sz="4" w:space="0" w:color="auto"/>
            </w:tcBorders>
            <w:shd w:val="clear" w:color="auto" w:fill="auto"/>
            <w:hideMark/>
          </w:tcPr>
          <w:p w14:paraId="003DED4E"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62C58786" w14:textId="77777777" w:rsidR="00E02032" w:rsidRPr="004C209D" w:rsidRDefault="00E02032" w:rsidP="00233C12">
            <w:pPr>
              <w:rPr>
                <w:color w:val="000000" w:themeColor="text1"/>
                <w:sz w:val="16"/>
                <w:szCs w:val="16"/>
              </w:rPr>
            </w:pPr>
            <w:r w:rsidRPr="004C209D">
              <w:rPr>
                <w:color w:val="000000" w:themeColor="text1"/>
                <w:sz w:val="16"/>
                <w:szCs w:val="16"/>
              </w:rPr>
              <w:t>COOPI</w:t>
            </w:r>
          </w:p>
        </w:tc>
        <w:tc>
          <w:tcPr>
            <w:tcW w:w="708" w:type="dxa"/>
            <w:tcBorders>
              <w:top w:val="nil"/>
              <w:left w:val="nil"/>
              <w:bottom w:val="single" w:sz="4" w:space="0" w:color="auto"/>
              <w:right w:val="single" w:sz="4" w:space="0" w:color="auto"/>
            </w:tcBorders>
            <w:shd w:val="clear" w:color="auto" w:fill="auto"/>
            <w:hideMark/>
          </w:tcPr>
          <w:p w14:paraId="4EED16BE"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788E50EF" w14:textId="77777777" w:rsidR="00E02032" w:rsidRPr="004C209D" w:rsidRDefault="00E02032" w:rsidP="00233C12">
            <w:pPr>
              <w:rPr>
                <w:color w:val="000000" w:themeColor="text1"/>
                <w:sz w:val="16"/>
                <w:szCs w:val="16"/>
              </w:rPr>
            </w:pPr>
            <w:r w:rsidRPr="004C209D">
              <w:rPr>
                <w:color w:val="000000" w:themeColor="text1"/>
                <w:sz w:val="16"/>
                <w:szCs w:val="16"/>
              </w:rPr>
              <w:t>COOPI</w:t>
            </w:r>
          </w:p>
        </w:tc>
      </w:tr>
      <w:tr w:rsidR="00E02032" w:rsidRPr="004C209D" w14:paraId="5F627815"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236E9D5C"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6597A7FD"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06147F63" w14:textId="77777777" w:rsidR="00E02032" w:rsidRPr="004C209D" w:rsidRDefault="00E02032" w:rsidP="00233C12">
            <w:pPr>
              <w:rPr>
                <w:color w:val="000000" w:themeColor="text1"/>
                <w:sz w:val="16"/>
                <w:szCs w:val="16"/>
              </w:rPr>
            </w:pPr>
            <w:r w:rsidRPr="004C209D">
              <w:rPr>
                <w:color w:val="000000" w:themeColor="text1"/>
                <w:sz w:val="16"/>
                <w:szCs w:val="16"/>
              </w:rPr>
              <w:t>MINDALA</w:t>
            </w:r>
          </w:p>
        </w:tc>
        <w:tc>
          <w:tcPr>
            <w:tcW w:w="1560" w:type="dxa"/>
            <w:vMerge/>
            <w:tcBorders>
              <w:top w:val="nil"/>
              <w:left w:val="single" w:sz="4" w:space="0" w:color="auto"/>
              <w:bottom w:val="single" w:sz="4" w:space="0" w:color="auto"/>
              <w:right w:val="single" w:sz="4" w:space="0" w:color="auto"/>
            </w:tcBorders>
            <w:shd w:val="clear" w:color="auto" w:fill="auto"/>
            <w:vAlign w:val="center"/>
            <w:hideMark/>
          </w:tcPr>
          <w:p w14:paraId="5B67B0B6" w14:textId="77777777" w:rsidR="00E02032" w:rsidRPr="004C209D" w:rsidRDefault="00E02032" w:rsidP="00233C12">
            <w:pPr>
              <w:rPr>
                <w:color w:val="000000" w:themeColor="text1"/>
                <w:sz w:val="16"/>
                <w:szCs w:val="16"/>
              </w:rPr>
            </w:pPr>
          </w:p>
        </w:tc>
        <w:tc>
          <w:tcPr>
            <w:tcW w:w="1417" w:type="dxa"/>
            <w:tcBorders>
              <w:top w:val="nil"/>
              <w:left w:val="nil"/>
              <w:bottom w:val="single" w:sz="4" w:space="0" w:color="auto"/>
              <w:right w:val="single" w:sz="4" w:space="0" w:color="auto"/>
            </w:tcBorders>
            <w:shd w:val="clear" w:color="auto" w:fill="auto"/>
            <w:hideMark/>
          </w:tcPr>
          <w:p w14:paraId="33F3155A"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850" w:type="dxa"/>
            <w:tcBorders>
              <w:top w:val="nil"/>
              <w:left w:val="nil"/>
              <w:bottom w:val="single" w:sz="4" w:space="0" w:color="auto"/>
              <w:right w:val="single" w:sz="4" w:space="0" w:color="auto"/>
            </w:tcBorders>
            <w:shd w:val="clear" w:color="auto" w:fill="auto"/>
            <w:hideMark/>
          </w:tcPr>
          <w:p w14:paraId="0F86F25E"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470CBD5D"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708" w:type="dxa"/>
            <w:tcBorders>
              <w:top w:val="nil"/>
              <w:left w:val="nil"/>
              <w:bottom w:val="single" w:sz="4" w:space="0" w:color="auto"/>
              <w:right w:val="single" w:sz="4" w:space="0" w:color="auto"/>
            </w:tcBorders>
            <w:shd w:val="clear" w:color="auto" w:fill="auto"/>
            <w:hideMark/>
          </w:tcPr>
          <w:p w14:paraId="4EC981FC"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238C7B49" w14:textId="77777777" w:rsidR="00E02032" w:rsidRPr="004C209D" w:rsidRDefault="00E02032" w:rsidP="00233C12">
            <w:pPr>
              <w:rPr>
                <w:color w:val="000000" w:themeColor="text1"/>
                <w:sz w:val="16"/>
                <w:szCs w:val="16"/>
              </w:rPr>
            </w:pPr>
            <w:r w:rsidRPr="004C209D">
              <w:rPr>
                <w:color w:val="000000" w:themeColor="text1"/>
                <w:sz w:val="16"/>
                <w:szCs w:val="16"/>
              </w:rPr>
              <w:t> </w:t>
            </w:r>
          </w:p>
        </w:tc>
      </w:tr>
      <w:tr w:rsidR="00E02032" w:rsidRPr="004C209D" w14:paraId="288553A0"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5FA5B24A"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72B5B9F7"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40AC26F3" w14:textId="77777777" w:rsidR="00E02032" w:rsidRPr="004C209D" w:rsidRDefault="00E02032" w:rsidP="00233C12">
            <w:pPr>
              <w:rPr>
                <w:color w:val="000000" w:themeColor="text1"/>
                <w:sz w:val="16"/>
                <w:szCs w:val="16"/>
              </w:rPr>
            </w:pPr>
            <w:r w:rsidRPr="004C209D">
              <w:rPr>
                <w:color w:val="000000" w:themeColor="text1"/>
                <w:sz w:val="16"/>
                <w:szCs w:val="16"/>
              </w:rPr>
              <w:t>KEMBE </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14:paraId="275F199C" w14:textId="77777777" w:rsidR="00E02032" w:rsidRPr="004C209D" w:rsidRDefault="00E02032" w:rsidP="00233C12">
            <w:pPr>
              <w:rPr>
                <w:color w:val="000000" w:themeColor="text1"/>
                <w:sz w:val="16"/>
                <w:szCs w:val="16"/>
              </w:rPr>
            </w:pPr>
            <w:r w:rsidRPr="004C209D">
              <w:rPr>
                <w:color w:val="000000" w:themeColor="text1"/>
                <w:sz w:val="16"/>
                <w:szCs w:val="16"/>
              </w:rPr>
              <w:t>DS. 6.3 KEMBE- SATEMA</w:t>
            </w:r>
          </w:p>
        </w:tc>
        <w:tc>
          <w:tcPr>
            <w:tcW w:w="1417" w:type="dxa"/>
            <w:tcBorders>
              <w:top w:val="nil"/>
              <w:left w:val="nil"/>
              <w:bottom w:val="single" w:sz="4" w:space="0" w:color="auto"/>
              <w:right w:val="single" w:sz="4" w:space="0" w:color="auto"/>
            </w:tcBorders>
            <w:shd w:val="clear" w:color="auto" w:fill="auto"/>
            <w:hideMark/>
          </w:tcPr>
          <w:p w14:paraId="06664DA4"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850" w:type="dxa"/>
            <w:tcBorders>
              <w:top w:val="nil"/>
              <w:left w:val="nil"/>
              <w:bottom w:val="single" w:sz="4" w:space="0" w:color="auto"/>
              <w:right w:val="single" w:sz="4" w:space="0" w:color="auto"/>
            </w:tcBorders>
            <w:shd w:val="clear" w:color="auto" w:fill="auto"/>
            <w:hideMark/>
          </w:tcPr>
          <w:p w14:paraId="1DBD497F"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01B95A78"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708" w:type="dxa"/>
            <w:tcBorders>
              <w:top w:val="nil"/>
              <w:left w:val="nil"/>
              <w:bottom w:val="single" w:sz="4" w:space="0" w:color="auto"/>
              <w:right w:val="single" w:sz="4" w:space="0" w:color="auto"/>
            </w:tcBorders>
            <w:shd w:val="clear" w:color="auto" w:fill="auto"/>
            <w:hideMark/>
          </w:tcPr>
          <w:p w14:paraId="3ED04C17"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5803E56C" w14:textId="77777777" w:rsidR="00E02032" w:rsidRPr="004C209D" w:rsidRDefault="00E02032" w:rsidP="00233C12">
            <w:pPr>
              <w:rPr>
                <w:color w:val="000000" w:themeColor="text1"/>
                <w:sz w:val="16"/>
                <w:szCs w:val="16"/>
              </w:rPr>
            </w:pPr>
            <w:r w:rsidRPr="004C209D">
              <w:rPr>
                <w:color w:val="000000" w:themeColor="text1"/>
                <w:sz w:val="16"/>
                <w:szCs w:val="16"/>
              </w:rPr>
              <w:t> </w:t>
            </w:r>
          </w:p>
        </w:tc>
      </w:tr>
      <w:tr w:rsidR="00E02032" w:rsidRPr="004C209D" w14:paraId="3FAE5521"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1DE5F07A"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19473983"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5C760B1D" w14:textId="77777777" w:rsidR="00E02032" w:rsidRPr="004C209D" w:rsidRDefault="00E02032" w:rsidP="00233C12">
            <w:pPr>
              <w:rPr>
                <w:color w:val="000000" w:themeColor="text1"/>
                <w:sz w:val="16"/>
                <w:szCs w:val="16"/>
              </w:rPr>
            </w:pPr>
            <w:r w:rsidRPr="004C209D">
              <w:rPr>
                <w:color w:val="000000" w:themeColor="text1"/>
                <w:sz w:val="16"/>
                <w:szCs w:val="16"/>
              </w:rPr>
              <w:t>SATEMA </w:t>
            </w:r>
          </w:p>
        </w:tc>
        <w:tc>
          <w:tcPr>
            <w:tcW w:w="1560" w:type="dxa"/>
            <w:vMerge/>
            <w:tcBorders>
              <w:top w:val="nil"/>
              <w:left w:val="single" w:sz="4" w:space="0" w:color="auto"/>
              <w:bottom w:val="single" w:sz="4" w:space="0" w:color="auto"/>
              <w:right w:val="single" w:sz="4" w:space="0" w:color="auto"/>
            </w:tcBorders>
            <w:vAlign w:val="center"/>
            <w:hideMark/>
          </w:tcPr>
          <w:p w14:paraId="37953E0A" w14:textId="77777777" w:rsidR="00E02032" w:rsidRPr="004C209D" w:rsidRDefault="00E02032" w:rsidP="00233C12">
            <w:pPr>
              <w:rPr>
                <w:color w:val="000000" w:themeColor="text1"/>
                <w:sz w:val="16"/>
                <w:szCs w:val="16"/>
              </w:rPr>
            </w:pPr>
          </w:p>
        </w:tc>
        <w:tc>
          <w:tcPr>
            <w:tcW w:w="1417" w:type="dxa"/>
            <w:tcBorders>
              <w:top w:val="nil"/>
              <w:left w:val="nil"/>
              <w:bottom w:val="single" w:sz="4" w:space="0" w:color="auto"/>
              <w:right w:val="single" w:sz="4" w:space="0" w:color="auto"/>
            </w:tcBorders>
            <w:shd w:val="clear" w:color="auto" w:fill="auto"/>
            <w:hideMark/>
          </w:tcPr>
          <w:p w14:paraId="7379CBB0"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850" w:type="dxa"/>
            <w:tcBorders>
              <w:top w:val="nil"/>
              <w:left w:val="nil"/>
              <w:bottom w:val="single" w:sz="4" w:space="0" w:color="auto"/>
              <w:right w:val="single" w:sz="4" w:space="0" w:color="auto"/>
            </w:tcBorders>
            <w:shd w:val="clear" w:color="auto" w:fill="auto"/>
            <w:hideMark/>
          </w:tcPr>
          <w:p w14:paraId="228818C6"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5A2B24E4"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708" w:type="dxa"/>
            <w:tcBorders>
              <w:top w:val="nil"/>
              <w:left w:val="nil"/>
              <w:bottom w:val="single" w:sz="4" w:space="0" w:color="auto"/>
              <w:right w:val="single" w:sz="4" w:space="0" w:color="auto"/>
            </w:tcBorders>
            <w:shd w:val="clear" w:color="auto" w:fill="auto"/>
            <w:hideMark/>
          </w:tcPr>
          <w:p w14:paraId="44332B2D"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7A0C29D9" w14:textId="77777777" w:rsidR="00E02032" w:rsidRPr="004C209D" w:rsidRDefault="00E02032" w:rsidP="00233C12">
            <w:pPr>
              <w:rPr>
                <w:color w:val="000000" w:themeColor="text1"/>
                <w:sz w:val="16"/>
                <w:szCs w:val="16"/>
              </w:rPr>
            </w:pPr>
            <w:r w:rsidRPr="004C209D">
              <w:rPr>
                <w:color w:val="000000" w:themeColor="text1"/>
                <w:sz w:val="16"/>
                <w:szCs w:val="16"/>
              </w:rPr>
              <w:t> </w:t>
            </w:r>
          </w:p>
        </w:tc>
      </w:tr>
      <w:tr w:rsidR="00E02032" w:rsidRPr="004C209D" w14:paraId="353552D1"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1E04B107" w14:textId="77777777" w:rsidR="00E02032" w:rsidRPr="004C209D" w:rsidRDefault="00E02032" w:rsidP="00233C12">
            <w:pPr>
              <w:rPr>
                <w:b/>
                <w:bCs/>
                <w:color w:val="000000"/>
                <w:sz w:val="16"/>
                <w:szCs w:val="16"/>
              </w:rPr>
            </w:pP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35080B72" w14:textId="77777777" w:rsidR="00E02032" w:rsidRPr="004C209D" w:rsidRDefault="00E02032" w:rsidP="00233C12">
            <w:pPr>
              <w:rPr>
                <w:color w:val="000000" w:themeColor="text1"/>
                <w:sz w:val="16"/>
                <w:szCs w:val="16"/>
              </w:rPr>
            </w:pPr>
            <w:r w:rsidRPr="004C209D">
              <w:rPr>
                <w:color w:val="000000" w:themeColor="text1"/>
                <w:sz w:val="16"/>
                <w:szCs w:val="16"/>
              </w:rPr>
              <w:t>MBOMOU </w:t>
            </w:r>
          </w:p>
        </w:tc>
        <w:tc>
          <w:tcPr>
            <w:tcW w:w="1418" w:type="dxa"/>
            <w:tcBorders>
              <w:top w:val="nil"/>
              <w:left w:val="nil"/>
              <w:bottom w:val="single" w:sz="4" w:space="0" w:color="auto"/>
              <w:right w:val="single" w:sz="4" w:space="0" w:color="auto"/>
            </w:tcBorders>
            <w:shd w:val="clear" w:color="auto" w:fill="auto"/>
            <w:hideMark/>
          </w:tcPr>
          <w:p w14:paraId="10ABED35" w14:textId="77777777" w:rsidR="00E02032" w:rsidRPr="004C209D" w:rsidRDefault="00E02032" w:rsidP="00233C12">
            <w:pPr>
              <w:rPr>
                <w:color w:val="000000" w:themeColor="text1"/>
                <w:sz w:val="16"/>
                <w:szCs w:val="16"/>
              </w:rPr>
            </w:pPr>
            <w:r w:rsidRPr="004C209D">
              <w:rPr>
                <w:color w:val="000000" w:themeColor="text1"/>
                <w:sz w:val="16"/>
                <w:szCs w:val="16"/>
              </w:rPr>
              <w:t>BANGASSOU </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14:paraId="2EB7C719" w14:textId="77777777" w:rsidR="00E02032" w:rsidRPr="004C209D" w:rsidRDefault="00E02032" w:rsidP="00233C12">
            <w:pPr>
              <w:rPr>
                <w:color w:val="000000" w:themeColor="text1"/>
                <w:sz w:val="16"/>
                <w:szCs w:val="16"/>
              </w:rPr>
            </w:pPr>
            <w:r w:rsidRPr="004C209D">
              <w:rPr>
                <w:color w:val="000000" w:themeColor="text1"/>
                <w:sz w:val="16"/>
                <w:szCs w:val="16"/>
              </w:rPr>
              <w:t>DS. 6.4 BANGASSOU </w:t>
            </w:r>
          </w:p>
        </w:tc>
        <w:tc>
          <w:tcPr>
            <w:tcW w:w="1417" w:type="dxa"/>
            <w:tcBorders>
              <w:top w:val="nil"/>
              <w:left w:val="nil"/>
              <w:bottom w:val="single" w:sz="4" w:space="0" w:color="auto"/>
              <w:right w:val="single" w:sz="4" w:space="0" w:color="auto"/>
            </w:tcBorders>
            <w:shd w:val="clear" w:color="auto" w:fill="auto"/>
            <w:hideMark/>
          </w:tcPr>
          <w:p w14:paraId="5B5DD070"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850" w:type="dxa"/>
            <w:tcBorders>
              <w:top w:val="nil"/>
              <w:left w:val="nil"/>
              <w:bottom w:val="single" w:sz="4" w:space="0" w:color="auto"/>
              <w:right w:val="single" w:sz="4" w:space="0" w:color="auto"/>
            </w:tcBorders>
            <w:shd w:val="clear" w:color="auto" w:fill="auto"/>
            <w:hideMark/>
          </w:tcPr>
          <w:p w14:paraId="39124808" w14:textId="77777777" w:rsidR="00E02032" w:rsidRPr="004C209D" w:rsidRDefault="00E02032" w:rsidP="00233C12">
            <w:pPr>
              <w:rPr>
                <w:color w:val="000000" w:themeColor="text1"/>
                <w:sz w:val="16"/>
                <w:szCs w:val="16"/>
              </w:rPr>
            </w:pPr>
            <w:r w:rsidRPr="004C209D">
              <w:rPr>
                <w:color w:val="000000" w:themeColor="text1"/>
                <w:sz w:val="16"/>
                <w:szCs w:val="16"/>
              </w:rPr>
              <w:t>MSF-B</w:t>
            </w:r>
          </w:p>
        </w:tc>
        <w:tc>
          <w:tcPr>
            <w:tcW w:w="1276" w:type="dxa"/>
            <w:tcBorders>
              <w:top w:val="nil"/>
              <w:left w:val="nil"/>
              <w:bottom w:val="single" w:sz="4" w:space="0" w:color="auto"/>
              <w:right w:val="single" w:sz="4" w:space="0" w:color="auto"/>
            </w:tcBorders>
            <w:shd w:val="clear" w:color="auto" w:fill="auto"/>
            <w:hideMark/>
          </w:tcPr>
          <w:p w14:paraId="0D62319A" w14:textId="77777777" w:rsidR="00E02032" w:rsidRPr="004C209D" w:rsidRDefault="00E02032" w:rsidP="00233C12">
            <w:pPr>
              <w:rPr>
                <w:color w:val="000000" w:themeColor="text1"/>
                <w:sz w:val="16"/>
                <w:szCs w:val="16"/>
              </w:rPr>
            </w:pPr>
            <w:r w:rsidRPr="004C209D">
              <w:rPr>
                <w:color w:val="000000" w:themeColor="text1"/>
                <w:sz w:val="16"/>
                <w:szCs w:val="16"/>
              </w:rPr>
              <w:t>ROPPLV, JUPEDEC</w:t>
            </w:r>
          </w:p>
        </w:tc>
        <w:tc>
          <w:tcPr>
            <w:tcW w:w="708" w:type="dxa"/>
            <w:tcBorders>
              <w:top w:val="nil"/>
              <w:left w:val="nil"/>
              <w:bottom w:val="single" w:sz="4" w:space="0" w:color="auto"/>
              <w:right w:val="single" w:sz="4" w:space="0" w:color="auto"/>
            </w:tcBorders>
            <w:shd w:val="clear" w:color="auto" w:fill="auto"/>
            <w:hideMark/>
          </w:tcPr>
          <w:p w14:paraId="0B159A7E"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56D49A6E" w14:textId="77777777" w:rsidR="00E02032" w:rsidRPr="004C209D" w:rsidRDefault="00E02032" w:rsidP="00233C12">
            <w:pPr>
              <w:rPr>
                <w:color w:val="000000" w:themeColor="text1"/>
                <w:sz w:val="16"/>
                <w:szCs w:val="16"/>
              </w:rPr>
            </w:pPr>
            <w:r w:rsidRPr="004C209D">
              <w:rPr>
                <w:color w:val="000000" w:themeColor="text1"/>
                <w:sz w:val="16"/>
                <w:szCs w:val="16"/>
              </w:rPr>
              <w:t>ROPPLV</w:t>
            </w:r>
          </w:p>
        </w:tc>
      </w:tr>
      <w:tr w:rsidR="00E02032" w:rsidRPr="004C209D" w14:paraId="6022BA95"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59B6E222"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580E13C2"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2F18D869" w14:textId="77777777" w:rsidR="00E02032" w:rsidRPr="004C209D" w:rsidRDefault="00E02032" w:rsidP="00233C12">
            <w:pPr>
              <w:rPr>
                <w:color w:val="000000" w:themeColor="text1"/>
                <w:sz w:val="16"/>
                <w:szCs w:val="16"/>
              </w:rPr>
            </w:pPr>
            <w:r w:rsidRPr="004C209D">
              <w:rPr>
                <w:color w:val="000000" w:themeColor="text1"/>
                <w:sz w:val="16"/>
                <w:szCs w:val="16"/>
              </w:rPr>
              <w:t>BAKOUMA</w:t>
            </w:r>
          </w:p>
        </w:tc>
        <w:tc>
          <w:tcPr>
            <w:tcW w:w="1560" w:type="dxa"/>
            <w:vMerge/>
            <w:tcBorders>
              <w:top w:val="nil"/>
              <w:left w:val="single" w:sz="4" w:space="0" w:color="auto"/>
              <w:bottom w:val="single" w:sz="4" w:space="0" w:color="auto"/>
              <w:right w:val="single" w:sz="4" w:space="0" w:color="auto"/>
            </w:tcBorders>
            <w:vAlign w:val="center"/>
            <w:hideMark/>
          </w:tcPr>
          <w:p w14:paraId="6733134D" w14:textId="77777777" w:rsidR="00E02032" w:rsidRPr="004C209D" w:rsidRDefault="00E02032" w:rsidP="00233C12">
            <w:pPr>
              <w:rPr>
                <w:color w:val="000000" w:themeColor="text1"/>
                <w:sz w:val="16"/>
                <w:szCs w:val="16"/>
              </w:rPr>
            </w:pPr>
          </w:p>
        </w:tc>
        <w:tc>
          <w:tcPr>
            <w:tcW w:w="1417" w:type="dxa"/>
            <w:tcBorders>
              <w:top w:val="nil"/>
              <w:left w:val="nil"/>
              <w:bottom w:val="single" w:sz="4" w:space="0" w:color="auto"/>
              <w:right w:val="single" w:sz="4" w:space="0" w:color="auto"/>
            </w:tcBorders>
            <w:shd w:val="clear" w:color="auto" w:fill="auto"/>
            <w:hideMark/>
          </w:tcPr>
          <w:p w14:paraId="2D78650A"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850" w:type="dxa"/>
            <w:tcBorders>
              <w:top w:val="nil"/>
              <w:left w:val="nil"/>
              <w:bottom w:val="single" w:sz="4" w:space="0" w:color="auto"/>
              <w:right w:val="single" w:sz="4" w:space="0" w:color="auto"/>
            </w:tcBorders>
            <w:shd w:val="clear" w:color="auto" w:fill="auto"/>
            <w:hideMark/>
          </w:tcPr>
          <w:p w14:paraId="7EC8F1F7"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7DF79FEA"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708" w:type="dxa"/>
            <w:tcBorders>
              <w:top w:val="nil"/>
              <w:left w:val="nil"/>
              <w:bottom w:val="single" w:sz="4" w:space="0" w:color="auto"/>
              <w:right w:val="single" w:sz="4" w:space="0" w:color="auto"/>
            </w:tcBorders>
            <w:shd w:val="clear" w:color="auto" w:fill="auto"/>
            <w:hideMark/>
          </w:tcPr>
          <w:p w14:paraId="1FBED8B5"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778C659A" w14:textId="77777777" w:rsidR="00E02032" w:rsidRPr="004C209D" w:rsidRDefault="00E02032" w:rsidP="00233C12">
            <w:pPr>
              <w:rPr>
                <w:color w:val="000000" w:themeColor="text1"/>
                <w:sz w:val="16"/>
                <w:szCs w:val="16"/>
              </w:rPr>
            </w:pPr>
            <w:r w:rsidRPr="004C209D">
              <w:rPr>
                <w:color w:val="000000" w:themeColor="text1"/>
                <w:sz w:val="16"/>
                <w:szCs w:val="16"/>
              </w:rPr>
              <w:t> </w:t>
            </w:r>
          </w:p>
        </w:tc>
      </w:tr>
      <w:tr w:rsidR="00E02032" w:rsidRPr="004C209D" w14:paraId="3508CC82"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2F5CC6DD"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1545D2DF"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32B76C89" w14:textId="77777777" w:rsidR="00E02032" w:rsidRPr="004C209D" w:rsidRDefault="00E02032" w:rsidP="00233C12">
            <w:pPr>
              <w:rPr>
                <w:color w:val="000000" w:themeColor="text1"/>
                <w:sz w:val="16"/>
                <w:szCs w:val="16"/>
              </w:rPr>
            </w:pPr>
            <w:r w:rsidRPr="004C209D">
              <w:rPr>
                <w:color w:val="000000" w:themeColor="text1"/>
                <w:sz w:val="16"/>
                <w:szCs w:val="16"/>
              </w:rPr>
              <w:t>RAFAI</w:t>
            </w:r>
          </w:p>
        </w:tc>
        <w:tc>
          <w:tcPr>
            <w:tcW w:w="1560" w:type="dxa"/>
            <w:vMerge/>
            <w:tcBorders>
              <w:top w:val="nil"/>
              <w:left w:val="single" w:sz="4" w:space="0" w:color="auto"/>
              <w:bottom w:val="single" w:sz="4" w:space="0" w:color="auto"/>
              <w:right w:val="single" w:sz="4" w:space="0" w:color="auto"/>
            </w:tcBorders>
            <w:vAlign w:val="center"/>
            <w:hideMark/>
          </w:tcPr>
          <w:p w14:paraId="41CB8E19" w14:textId="77777777" w:rsidR="00E02032" w:rsidRPr="004C209D" w:rsidRDefault="00E02032" w:rsidP="00233C12">
            <w:pPr>
              <w:rPr>
                <w:color w:val="000000" w:themeColor="text1"/>
                <w:sz w:val="16"/>
                <w:szCs w:val="16"/>
              </w:rPr>
            </w:pPr>
          </w:p>
        </w:tc>
        <w:tc>
          <w:tcPr>
            <w:tcW w:w="1417" w:type="dxa"/>
            <w:tcBorders>
              <w:top w:val="nil"/>
              <w:left w:val="nil"/>
              <w:bottom w:val="single" w:sz="4" w:space="0" w:color="auto"/>
              <w:right w:val="single" w:sz="4" w:space="0" w:color="auto"/>
            </w:tcBorders>
            <w:shd w:val="clear" w:color="auto" w:fill="auto"/>
            <w:hideMark/>
          </w:tcPr>
          <w:p w14:paraId="3917361D"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850" w:type="dxa"/>
            <w:tcBorders>
              <w:top w:val="nil"/>
              <w:left w:val="nil"/>
              <w:bottom w:val="single" w:sz="4" w:space="0" w:color="auto"/>
              <w:right w:val="single" w:sz="4" w:space="0" w:color="auto"/>
            </w:tcBorders>
            <w:shd w:val="clear" w:color="auto" w:fill="auto"/>
            <w:hideMark/>
          </w:tcPr>
          <w:p w14:paraId="4A83D8FE"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3F2855AD" w14:textId="77777777" w:rsidR="00E02032" w:rsidRPr="004C209D" w:rsidRDefault="00E02032" w:rsidP="00233C12">
            <w:pPr>
              <w:rPr>
                <w:color w:val="000000" w:themeColor="text1"/>
                <w:sz w:val="16"/>
                <w:szCs w:val="16"/>
              </w:rPr>
            </w:pPr>
            <w:r w:rsidRPr="004C209D">
              <w:rPr>
                <w:color w:val="000000" w:themeColor="text1"/>
                <w:sz w:val="16"/>
                <w:szCs w:val="16"/>
              </w:rPr>
              <w:t>JUPEDEC</w:t>
            </w:r>
          </w:p>
        </w:tc>
        <w:tc>
          <w:tcPr>
            <w:tcW w:w="708" w:type="dxa"/>
            <w:tcBorders>
              <w:top w:val="nil"/>
              <w:left w:val="nil"/>
              <w:bottom w:val="single" w:sz="4" w:space="0" w:color="auto"/>
              <w:right w:val="single" w:sz="4" w:space="0" w:color="auto"/>
            </w:tcBorders>
            <w:shd w:val="clear" w:color="auto" w:fill="auto"/>
            <w:hideMark/>
          </w:tcPr>
          <w:p w14:paraId="096B99AE"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7FF354CA" w14:textId="77777777" w:rsidR="00E02032" w:rsidRPr="004C209D" w:rsidRDefault="00E02032" w:rsidP="00233C12">
            <w:pPr>
              <w:rPr>
                <w:color w:val="000000" w:themeColor="text1"/>
                <w:sz w:val="16"/>
                <w:szCs w:val="16"/>
              </w:rPr>
            </w:pPr>
            <w:r w:rsidRPr="004C209D">
              <w:rPr>
                <w:color w:val="000000" w:themeColor="text1"/>
                <w:sz w:val="16"/>
                <w:szCs w:val="16"/>
              </w:rPr>
              <w:t> </w:t>
            </w:r>
          </w:p>
        </w:tc>
      </w:tr>
      <w:tr w:rsidR="00E02032" w:rsidRPr="004C209D" w14:paraId="2031838D"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2D9A6C46"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18387321"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48A56738" w14:textId="77777777" w:rsidR="00E02032" w:rsidRPr="004C209D" w:rsidRDefault="00E02032" w:rsidP="00233C12">
            <w:pPr>
              <w:rPr>
                <w:color w:val="000000" w:themeColor="text1"/>
                <w:sz w:val="16"/>
                <w:szCs w:val="16"/>
              </w:rPr>
            </w:pPr>
            <w:r w:rsidRPr="004C209D">
              <w:rPr>
                <w:color w:val="000000" w:themeColor="text1"/>
                <w:sz w:val="16"/>
                <w:szCs w:val="16"/>
              </w:rPr>
              <w:t>GAMBO </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14:paraId="0C75ABF5" w14:textId="77777777" w:rsidR="00E02032" w:rsidRPr="004C209D" w:rsidRDefault="00E02032" w:rsidP="00233C12">
            <w:pPr>
              <w:rPr>
                <w:color w:val="000000" w:themeColor="text1"/>
                <w:sz w:val="16"/>
                <w:szCs w:val="16"/>
              </w:rPr>
            </w:pPr>
            <w:r w:rsidRPr="004C209D">
              <w:rPr>
                <w:color w:val="000000" w:themeColor="text1"/>
                <w:sz w:val="16"/>
                <w:szCs w:val="16"/>
              </w:rPr>
              <w:t>DS. 6.5 OUANGO- GAMBO</w:t>
            </w:r>
          </w:p>
        </w:tc>
        <w:tc>
          <w:tcPr>
            <w:tcW w:w="1417" w:type="dxa"/>
            <w:tcBorders>
              <w:top w:val="nil"/>
              <w:left w:val="nil"/>
              <w:bottom w:val="single" w:sz="4" w:space="0" w:color="auto"/>
              <w:right w:val="single" w:sz="4" w:space="0" w:color="auto"/>
            </w:tcBorders>
            <w:shd w:val="clear" w:color="auto" w:fill="auto"/>
            <w:hideMark/>
          </w:tcPr>
          <w:p w14:paraId="19529CF7"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850" w:type="dxa"/>
            <w:tcBorders>
              <w:top w:val="nil"/>
              <w:left w:val="nil"/>
              <w:bottom w:val="single" w:sz="4" w:space="0" w:color="auto"/>
              <w:right w:val="single" w:sz="4" w:space="0" w:color="auto"/>
            </w:tcBorders>
            <w:shd w:val="clear" w:color="auto" w:fill="auto"/>
            <w:hideMark/>
          </w:tcPr>
          <w:p w14:paraId="115C63BC"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206AD906"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708" w:type="dxa"/>
            <w:tcBorders>
              <w:top w:val="nil"/>
              <w:left w:val="nil"/>
              <w:bottom w:val="single" w:sz="4" w:space="0" w:color="auto"/>
              <w:right w:val="single" w:sz="4" w:space="0" w:color="auto"/>
            </w:tcBorders>
            <w:shd w:val="clear" w:color="auto" w:fill="auto"/>
            <w:hideMark/>
          </w:tcPr>
          <w:p w14:paraId="3E1477B9"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3241C50E" w14:textId="77777777" w:rsidR="00E02032" w:rsidRPr="004C209D" w:rsidRDefault="00E02032" w:rsidP="00233C12">
            <w:pPr>
              <w:rPr>
                <w:color w:val="000000" w:themeColor="text1"/>
                <w:sz w:val="16"/>
                <w:szCs w:val="16"/>
              </w:rPr>
            </w:pPr>
            <w:r w:rsidRPr="004C209D">
              <w:rPr>
                <w:color w:val="000000" w:themeColor="text1"/>
                <w:sz w:val="16"/>
                <w:szCs w:val="16"/>
              </w:rPr>
              <w:t> </w:t>
            </w:r>
          </w:p>
        </w:tc>
      </w:tr>
      <w:tr w:rsidR="00E02032" w:rsidRPr="004C209D" w14:paraId="2448C73C"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26908D6B"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128E0981"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6E0F6636" w14:textId="77777777" w:rsidR="00E02032" w:rsidRPr="004C209D" w:rsidRDefault="00E02032" w:rsidP="00233C12">
            <w:pPr>
              <w:rPr>
                <w:color w:val="000000" w:themeColor="text1"/>
                <w:sz w:val="16"/>
                <w:szCs w:val="16"/>
              </w:rPr>
            </w:pPr>
            <w:r w:rsidRPr="004C209D">
              <w:rPr>
                <w:color w:val="000000" w:themeColor="text1"/>
                <w:sz w:val="16"/>
                <w:szCs w:val="16"/>
              </w:rPr>
              <w:t>OUANGO </w:t>
            </w:r>
          </w:p>
        </w:tc>
        <w:tc>
          <w:tcPr>
            <w:tcW w:w="1560" w:type="dxa"/>
            <w:vMerge/>
            <w:tcBorders>
              <w:top w:val="nil"/>
              <w:left w:val="single" w:sz="4" w:space="0" w:color="auto"/>
              <w:bottom w:val="single" w:sz="4" w:space="0" w:color="auto"/>
              <w:right w:val="single" w:sz="4" w:space="0" w:color="auto"/>
            </w:tcBorders>
            <w:vAlign w:val="center"/>
            <w:hideMark/>
          </w:tcPr>
          <w:p w14:paraId="5FD12957" w14:textId="77777777" w:rsidR="00E02032" w:rsidRPr="004C209D" w:rsidRDefault="00E02032" w:rsidP="00233C12">
            <w:pPr>
              <w:rPr>
                <w:color w:val="000000" w:themeColor="text1"/>
                <w:sz w:val="16"/>
                <w:szCs w:val="16"/>
              </w:rPr>
            </w:pPr>
          </w:p>
        </w:tc>
        <w:tc>
          <w:tcPr>
            <w:tcW w:w="1417" w:type="dxa"/>
            <w:tcBorders>
              <w:top w:val="nil"/>
              <w:left w:val="nil"/>
              <w:bottom w:val="single" w:sz="4" w:space="0" w:color="auto"/>
              <w:right w:val="single" w:sz="4" w:space="0" w:color="auto"/>
            </w:tcBorders>
            <w:shd w:val="clear" w:color="auto" w:fill="auto"/>
            <w:hideMark/>
          </w:tcPr>
          <w:p w14:paraId="762BD508"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850" w:type="dxa"/>
            <w:tcBorders>
              <w:top w:val="nil"/>
              <w:left w:val="nil"/>
              <w:bottom w:val="single" w:sz="4" w:space="0" w:color="auto"/>
              <w:right w:val="single" w:sz="4" w:space="0" w:color="auto"/>
            </w:tcBorders>
            <w:shd w:val="clear" w:color="auto" w:fill="auto"/>
            <w:hideMark/>
          </w:tcPr>
          <w:p w14:paraId="0A98795D"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1674962A"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708" w:type="dxa"/>
            <w:tcBorders>
              <w:top w:val="nil"/>
              <w:left w:val="nil"/>
              <w:bottom w:val="single" w:sz="4" w:space="0" w:color="auto"/>
              <w:right w:val="single" w:sz="4" w:space="0" w:color="auto"/>
            </w:tcBorders>
            <w:shd w:val="clear" w:color="auto" w:fill="auto"/>
            <w:hideMark/>
          </w:tcPr>
          <w:p w14:paraId="11B197A3"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6512FB8A" w14:textId="77777777" w:rsidR="00E02032" w:rsidRPr="004C209D" w:rsidRDefault="00E02032" w:rsidP="00233C12">
            <w:pPr>
              <w:rPr>
                <w:color w:val="000000" w:themeColor="text1"/>
                <w:sz w:val="16"/>
                <w:szCs w:val="16"/>
              </w:rPr>
            </w:pPr>
            <w:r w:rsidRPr="004C209D">
              <w:rPr>
                <w:color w:val="000000" w:themeColor="text1"/>
                <w:sz w:val="16"/>
                <w:szCs w:val="16"/>
              </w:rPr>
              <w:t> </w:t>
            </w:r>
          </w:p>
        </w:tc>
      </w:tr>
      <w:tr w:rsidR="00E02032" w:rsidRPr="004C209D" w14:paraId="2183244D"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17100411" w14:textId="77777777" w:rsidR="00E02032" w:rsidRPr="004C209D" w:rsidRDefault="00E02032" w:rsidP="00233C12">
            <w:pPr>
              <w:rPr>
                <w:b/>
                <w:bCs/>
                <w:color w:val="000000"/>
                <w:sz w:val="16"/>
                <w:szCs w:val="16"/>
              </w:rPr>
            </w:pP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5C78CDA6" w14:textId="77777777" w:rsidR="00E02032" w:rsidRPr="004C209D" w:rsidRDefault="00E02032" w:rsidP="00233C12">
            <w:pPr>
              <w:rPr>
                <w:color w:val="000000" w:themeColor="text1"/>
                <w:sz w:val="16"/>
                <w:szCs w:val="16"/>
              </w:rPr>
            </w:pPr>
            <w:r w:rsidRPr="004C209D">
              <w:rPr>
                <w:color w:val="000000" w:themeColor="text1"/>
                <w:sz w:val="16"/>
                <w:szCs w:val="16"/>
              </w:rPr>
              <w:t>HAUT-MBOMOU </w:t>
            </w:r>
          </w:p>
        </w:tc>
        <w:tc>
          <w:tcPr>
            <w:tcW w:w="1418" w:type="dxa"/>
            <w:tcBorders>
              <w:top w:val="nil"/>
              <w:left w:val="nil"/>
              <w:bottom w:val="single" w:sz="4" w:space="0" w:color="auto"/>
              <w:right w:val="single" w:sz="4" w:space="0" w:color="auto"/>
            </w:tcBorders>
            <w:shd w:val="clear" w:color="auto" w:fill="auto"/>
            <w:hideMark/>
          </w:tcPr>
          <w:p w14:paraId="21765277" w14:textId="77777777" w:rsidR="00E02032" w:rsidRPr="004C209D" w:rsidRDefault="00E02032" w:rsidP="00233C12">
            <w:pPr>
              <w:rPr>
                <w:color w:val="000000" w:themeColor="text1"/>
                <w:sz w:val="16"/>
                <w:szCs w:val="16"/>
              </w:rPr>
            </w:pPr>
            <w:r w:rsidRPr="004C209D">
              <w:rPr>
                <w:color w:val="000000" w:themeColor="text1"/>
                <w:sz w:val="16"/>
                <w:szCs w:val="16"/>
              </w:rPr>
              <w:t>OBO </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14:paraId="53466E0E" w14:textId="77777777" w:rsidR="00E02032" w:rsidRPr="004C209D" w:rsidRDefault="00E02032" w:rsidP="00233C12">
            <w:pPr>
              <w:rPr>
                <w:color w:val="000000" w:themeColor="text1"/>
                <w:sz w:val="16"/>
                <w:szCs w:val="16"/>
              </w:rPr>
            </w:pPr>
            <w:r w:rsidRPr="004C209D">
              <w:rPr>
                <w:color w:val="000000" w:themeColor="text1"/>
                <w:sz w:val="16"/>
                <w:szCs w:val="16"/>
              </w:rPr>
              <w:t>DS. 6.6 HAUT-MBOMOU </w:t>
            </w:r>
          </w:p>
        </w:tc>
        <w:tc>
          <w:tcPr>
            <w:tcW w:w="1417" w:type="dxa"/>
            <w:tcBorders>
              <w:top w:val="nil"/>
              <w:left w:val="nil"/>
              <w:bottom w:val="single" w:sz="4" w:space="0" w:color="auto"/>
              <w:right w:val="single" w:sz="4" w:space="0" w:color="auto"/>
            </w:tcBorders>
            <w:shd w:val="clear" w:color="auto" w:fill="auto"/>
            <w:hideMark/>
          </w:tcPr>
          <w:p w14:paraId="4FF8EC39"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850" w:type="dxa"/>
            <w:tcBorders>
              <w:top w:val="nil"/>
              <w:left w:val="nil"/>
              <w:bottom w:val="single" w:sz="4" w:space="0" w:color="auto"/>
              <w:right w:val="single" w:sz="4" w:space="0" w:color="auto"/>
            </w:tcBorders>
            <w:shd w:val="clear" w:color="auto" w:fill="auto"/>
            <w:hideMark/>
          </w:tcPr>
          <w:p w14:paraId="1B8B1815"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42279B25" w14:textId="77777777" w:rsidR="00E02032" w:rsidRPr="004C209D" w:rsidRDefault="00E02032" w:rsidP="00233C12">
            <w:pPr>
              <w:rPr>
                <w:color w:val="000000" w:themeColor="text1"/>
                <w:sz w:val="16"/>
                <w:szCs w:val="16"/>
              </w:rPr>
            </w:pPr>
            <w:r w:rsidRPr="004C209D">
              <w:rPr>
                <w:color w:val="000000" w:themeColor="text1"/>
                <w:sz w:val="16"/>
                <w:szCs w:val="16"/>
              </w:rPr>
              <w:t>JUPEDEC</w:t>
            </w:r>
          </w:p>
        </w:tc>
        <w:tc>
          <w:tcPr>
            <w:tcW w:w="708" w:type="dxa"/>
            <w:tcBorders>
              <w:top w:val="nil"/>
              <w:left w:val="nil"/>
              <w:bottom w:val="single" w:sz="4" w:space="0" w:color="auto"/>
              <w:right w:val="single" w:sz="4" w:space="0" w:color="auto"/>
            </w:tcBorders>
            <w:shd w:val="clear" w:color="auto" w:fill="auto"/>
            <w:hideMark/>
          </w:tcPr>
          <w:p w14:paraId="0477B928"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0006D76D" w14:textId="77777777" w:rsidR="00E02032" w:rsidRPr="004C209D" w:rsidRDefault="00E02032" w:rsidP="00233C12">
            <w:pPr>
              <w:rPr>
                <w:color w:val="000000" w:themeColor="text1"/>
                <w:sz w:val="16"/>
                <w:szCs w:val="16"/>
              </w:rPr>
            </w:pPr>
            <w:r w:rsidRPr="004C209D">
              <w:rPr>
                <w:color w:val="000000" w:themeColor="text1"/>
                <w:sz w:val="16"/>
                <w:szCs w:val="16"/>
              </w:rPr>
              <w:t> </w:t>
            </w:r>
          </w:p>
        </w:tc>
      </w:tr>
      <w:tr w:rsidR="00E02032" w:rsidRPr="004C209D" w14:paraId="5E98983D"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3F145E30"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0B6E321B"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1D84E10B" w14:textId="77777777" w:rsidR="00E02032" w:rsidRPr="004C209D" w:rsidRDefault="00E02032" w:rsidP="00233C12">
            <w:pPr>
              <w:rPr>
                <w:color w:val="000000" w:themeColor="text1"/>
                <w:sz w:val="16"/>
                <w:szCs w:val="16"/>
              </w:rPr>
            </w:pPr>
            <w:r w:rsidRPr="004C209D">
              <w:rPr>
                <w:color w:val="000000" w:themeColor="text1"/>
                <w:sz w:val="16"/>
                <w:szCs w:val="16"/>
              </w:rPr>
              <w:t>ZEMIO </w:t>
            </w:r>
          </w:p>
        </w:tc>
        <w:tc>
          <w:tcPr>
            <w:tcW w:w="1560" w:type="dxa"/>
            <w:vMerge/>
            <w:tcBorders>
              <w:top w:val="nil"/>
              <w:left w:val="single" w:sz="4" w:space="0" w:color="auto"/>
              <w:bottom w:val="single" w:sz="4" w:space="0" w:color="auto"/>
              <w:right w:val="single" w:sz="4" w:space="0" w:color="auto"/>
            </w:tcBorders>
            <w:vAlign w:val="center"/>
            <w:hideMark/>
          </w:tcPr>
          <w:p w14:paraId="0DBA356C" w14:textId="77777777" w:rsidR="00E02032" w:rsidRPr="004C209D" w:rsidRDefault="00E02032" w:rsidP="00233C12">
            <w:pPr>
              <w:rPr>
                <w:color w:val="000000" w:themeColor="text1"/>
                <w:sz w:val="16"/>
                <w:szCs w:val="16"/>
              </w:rPr>
            </w:pPr>
          </w:p>
        </w:tc>
        <w:tc>
          <w:tcPr>
            <w:tcW w:w="1417" w:type="dxa"/>
            <w:tcBorders>
              <w:top w:val="nil"/>
              <w:left w:val="nil"/>
              <w:bottom w:val="single" w:sz="4" w:space="0" w:color="auto"/>
              <w:right w:val="single" w:sz="4" w:space="0" w:color="auto"/>
            </w:tcBorders>
            <w:shd w:val="clear" w:color="auto" w:fill="auto"/>
            <w:hideMark/>
          </w:tcPr>
          <w:p w14:paraId="3BA01C38" w14:textId="77777777" w:rsidR="00E02032" w:rsidRPr="004C209D" w:rsidRDefault="00E02032" w:rsidP="00233C12">
            <w:pPr>
              <w:rPr>
                <w:color w:val="000000" w:themeColor="text1"/>
                <w:sz w:val="16"/>
                <w:szCs w:val="16"/>
              </w:rPr>
            </w:pPr>
            <w:r w:rsidRPr="004C209D">
              <w:rPr>
                <w:color w:val="000000" w:themeColor="text1"/>
                <w:sz w:val="16"/>
                <w:szCs w:val="16"/>
              </w:rPr>
              <w:t>COOPI</w:t>
            </w:r>
          </w:p>
        </w:tc>
        <w:tc>
          <w:tcPr>
            <w:tcW w:w="850" w:type="dxa"/>
            <w:tcBorders>
              <w:top w:val="nil"/>
              <w:left w:val="nil"/>
              <w:bottom w:val="single" w:sz="4" w:space="0" w:color="auto"/>
              <w:right w:val="single" w:sz="4" w:space="0" w:color="auto"/>
            </w:tcBorders>
            <w:shd w:val="clear" w:color="auto" w:fill="auto"/>
            <w:hideMark/>
          </w:tcPr>
          <w:p w14:paraId="08675BBA"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003697B6" w14:textId="77777777" w:rsidR="00E02032" w:rsidRPr="004C209D" w:rsidRDefault="00E02032" w:rsidP="00233C12">
            <w:pPr>
              <w:rPr>
                <w:color w:val="000000" w:themeColor="text1"/>
                <w:sz w:val="16"/>
                <w:szCs w:val="16"/>
              </w:rPr>
            </w:pPr>
            <w:r w:rsidRPr="004C209D">
              <w:rPr>
                <w:color w:val="000000" w:themeColor="text1"/>
                <w:sz w:val="16"/>
                <w:szCs w:val="16"/>
              </w:rPr>
              <w:t>COOPI, JUPEDEC</w:t>
            </w:r>
          </w:p>
        </w:tc>
        <w:tc>
          <w:tcPr>
            <w:tcW w:w="708" w:type="dxa"/>
            <w:tcBorders>
              <w:top w:val="nil"/>
              <w:left w:val="nil"/>
              <w:bottom w:val="single" w:sz="4" w:space="0" w:color="auto"/>
              <w:right w:val="single" w:sz="4" w:space="0" w:color="auto"/>
            </w:tcBorders>
            <w:shd w:val="clear" w:color="auto" w:fill="auto"/>
            <w:hideMark/>
          </w:tcPr>
          <w:p w14:paraId="4966C9E1"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075B8F64" w14:textId="77777777" w:rsidR="00E02032" w:rsidRPr="004C209D" w:rsidRDefault="00E02032" w:rsidP="00233C12">
            <w:pPr>
              <w:rPr>
                <w:color w:val="000000" w:themeColor="text1"/>
                <w:sz w:val="16"/>
                <w:szCs w:val="16"/>
              </w:rPr>
            </w:pPr>
            <w:r w:rsidRPr="004C209D">
              <w:rPr>
                <w:color w:val="000000" w:themeColor="text1"/>
                <w:sz w:val="16"/>
                <w:szCs w:val="16"/>
              </w:rPr>
              <w:t>COOPI</w:t>
            </w:r>
          </w:p>
        </w:tc>
      </w:tr>
      <w:tr w:rsidR="00E02032" w:rsidRPr="004C209D" w14:paraId="719C1B46"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1F153CBF"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0CC82409"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751B2D08" w14:textId="77777777" w:rsidR="00E02032" w:rsidRPr="004C209D" w:rsidRDefault="00E02032" w:rsidP="00233C12">
            <w:pPr>
              <w:rPr>
                <w:color w:val="000000" w:themeColor="text1"/>
                <w:sz w:val="16"/>
                <w:szCs w:val="16"/>
              </w:rPr>
            </w:pPr>
            <w:r w:rsidRPr="004C209D">
              <w:rPr>
                <w:color w:val="000000" w:themeColor="text1"/>
                <w:sz w:val="16"/>
                <w:szCs w:val="16"/>
              </w:rPr>
              <w:t>BAMBOUTI</w:t>
            </w:r>
          </w:p>
        </w:tc>
        <w:tc>
          <w:tcPr>
            <w:tcW w:w="1560" w:type="dxa"/>
            <w:vMerge/>
            <w:tcBorders>
              <w:top w:val="nil"/>
              <w:left w:val="single" w:sz="4" w:space="0" w:color="auto"/>
              <w:bottom w:val="single" w:sz="4" w:space="0" w:color="auto"/>
              <w:right w:val="single" w:sz="4" w:space="0" w:color="auto"/>
            </w:tcBorders>
            <w:vAlign w:val="center"/>
            <w:hideMark/>
          </w:tcPr>
          <w:p w14:paraId="2E9B7BDA" w14:textId="77777777" w:rsidR="00E02032" w:rsidRPr="004C209D" w:rsidRDefault="00E02032" w:rsidP="00233C12">
            <w:pPr>
              <w:rPr>
                <w:color w:val="000000" w:themeColor="text1"/>
                <w:sz w:val="16"/>
                <w:szCs w:val="16"/>
              </w:rPr>
            </w:pPr>
          </w:p>
        </w:tc>
        <w:tc>
          <w:tcPr>
            <w:tcW w:w="1417" w:type="dxa"/>
            <w:tcBorders>
              <w:top w:val="nil"/>
              <w:left w:val="nil"/>
              <w:bottom w:val="single" w:sz="4" w:space="0" w:color="auto"/>
              <w:right w:val="single" w:sz="4" w:space="0" w:color="auto"/>
            </w:tcBorders>
            <w:shd w:val="clear" w:color="auto" w:fill="auto"/>
            <w:hideMark/>
          </w:tcPr>
          <w:p w14:paraId="1DEB1C0F"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850" w:type="dxa"/>
            <w:tcBorders>
              <w:top w:val="nil"/>
              <w:left w:val="nil"/>
              <w:bottom w:val="single" w:sz="4" w:space="0" w:color="auto"/>
              <w:right w:val="single" w:sz="4" w:space="0" w:color="auto"/>
            </w:tcBorders>
            <w:shd w:val="clear" w:color="auto" w:fill="auto"/>
            <w:hideMark/>
          </w:tcPr>
          <w:p w14:paraId="5FA03853"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209DAFEE"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708" w:type="dxa"/>
            <w:tcBorders>
              <w:top w:val="nil"/>
              <w:left w:val="nil"/>
              <w:bottom w:val="single" w:sz="4" w:space="0" w:color="auto"/>
              <w:right w:val="single" w:sz="4" w:space="0" w:color="auto"/>
            </w:tcBorders>
            <w:shd w:val="clear" w:color="auto" w:fill="auto"/>
            <w:hideMark/>
          </w:tcPr>
          <w:p w14:paraId="5C7306E4"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43DC32F8" w14:textId="77777777" w:rsidR="00E02032" w:rsidRPr="004C209D" w:rsidRDefault="00E02032" w:rsidP="00233C12">
            <w:pPr>
              <w:rPr>
                <w:color w:val="000000" w:themeColor="text1"/>
                <w:sz w:val="16"/>
                <w:szCs w:val="16"/>
              </w:rPr>
            </w:pPr>
            <w:r w:rsidRPr="004C209D">
              <w:rPr>
                <w:color w:val="000000" w:themeColor="text1"/>
                <w:sz w:val="16"/>
                <w:szCs w:val="16"/>
              </w:rPr>
              <w:t> </w:t>
            </w:r>
          </w:p>
        </w:tc>
      </w:tr>
      <w:tr w:rsidR="00E02032" w:rsidRPr="004C209D" w14:paraId="1405950B"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0CCF3BB4"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053211D4"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6CE2B6A6" w14:textId="77777777" w:rsidR="00E02032" w:rsidRPr="004C209D" w:rsidRDefault="00E02032" w:rsidP="00233C12">
            <w:pPr>
              <w:rPr>
                <w:color w:val="000000" w:themeColor="text1"/>
                <w:sz w:val="16"/>
                <w:szCs w:val="16"/>
              </w:rPr>
            </w:pPr>
            <w:r w:rsidRPr="004C209D">
              <w:rPr>
                <w:color w:val="000000" w:themeColor="text1"/>
                <w:sz w:val="16"/>
                <w:szCs w:val="16"/>
              </w:rPr>
              <w:t>MBOKI</w:t>
            </w:r>
          </w:p>
        </w:tc>
        <w:tc>
          <w:tcPr>
            <w:tcW w:w="1560" w:type="dxa"/>
            <w:vMerge/>
            <w:tcBorders>
              <w:top w:val="nil"/>
              <w:left w:val="single" w:sz="4" w:space="0" w:color="auto"/>
              <w:bottom w:val="single" w:sz="4" w:space="0" w:color="auto"/>
              <w:right w:val="single" w:sz="4" w:space="0" w:color="auto"/>
            </w:tcBorders>
            <w:vAlign w:val="center"/>
            <w:hideMark/>
          </w:tcPr>
          <w:p w14:paraId="5085E6D4" w14:textId="77777777" w:rsidR="00E02032" w:rsidRPr="004C209D" w:rsidRDefault="00E02032" w:rsidP="00233C12">
            <w:pPr>
              <w:rPr>
                <w:color w:val="000000" w:themeColor="text1"/>
                <w:sz w:val="16"/>
                <w:szCs w:val="16"/>
              </w:rPr>
            </w:pPr>
          </w:p>
        </w:tc>
        <w:tc>
          <w:tcPr>
            <w:tcW w:w="1417" w:type="dxa"/>
            <w:tcBorders>
              <w:top w:val="nil"/>
              <w:left w:val="nil"/>
              <w:bottom w:val="single" w:sz="4" w:space="0" w:color="auto"/>
              <w:right w:val="single" w:sz="4" w:space="0" w:color="auto"/>
            </w:tcBorders>
            <w:shd w:val="clear" w:color="auto" w:fill="auto"/>
            <w:hideMark/>
          </w:tcPr>
          <w:p w14:paraId="3BF53BD7"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850" w:type="dxa"/>
            <w:tcBorders>
              <w:top w:val="nil"/>
              <w:left w:val="nil"/>
              <w:bottom w:val="single" w:sz="4" w:space="0" w:color="auto"/>
              <w:right w:val="single" w:sz="4" w:space="0" w:color="auto"/>
            </w:tcBorders>
            <w:shd w:val="clear" w:color="auto" w:fill="auto"/>
            <w:hideMark/>
          </w:tcPr>
          <w:p w14:paraId="4A05855D"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50DA2DF4"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708" w:type="dxa"/>
            <w:tcBorders>
              <w:top w:val="nil"/>
              <w:left w:val="nil"/>
              <w:bottom w:val="single" w:sz="4" w:space="0" w:color="auto"/>
              <w:right w:val="single" w:sz="4" w:space="0" w:color="auto"/>
            </w:tcBorders>
            <w:shd w:val="clear" w:color="auto" w:fill="auto"/>
            <w:hideMark/>
          </w:tcPr>
          <w:p w14:paraId="5D21DC6E"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77124C49" w14:textId="77777777" w:rsidR="00E02032" w:rsidRPr="004C209D" w:rsidRDefault="00E02032" w:rsidP="00233C12">
            <w:pPr>
              <w:rPr>
                <w:color w:val="000000" w:themeColor="text1"/>
                <w:sz w:val="16"/>
                <w:szCs w:val="16"/>
              </w:rPr>
            </w:pPr>
            <w:r w:rsidRPr="004C209D">
              <w:rPr>
                <w:color w:val="000000" w:themeColor="text1"/>
                <w:sz w:val="16"/>
                <w:szCs w:val="16"/>
              </w:rPr>
              <w:t> </w:t>
            </w:r>
          </w:p>
        </w:tc>
      </w:tr>
      <w:tr w:rsidR="00E02032" w:rsidRPr="004C209D" w14:paraId="6B50CE58" w14:textId="77777777" w:rsidTr="00233C12">
        <w:trPr>
          <w:trHeight w:val="20"/>
        </w:trPr>
        <w:tc>
          <w:tcPr>
            <w:tcW w:w="421" w:type="dxa"/>
            <w:vMerge/>
            <w:tcBorders>
              <w:top w:val="nil"/>
              <w:left w:val="single" w:sz="4" w:space="0" w:color="auto"/>
              <w:bottom w:val="single" w:sz="4" w:space="0" w:color="auto"/>
              <w:right w:val="single" w:sz="4" w:space="0" w:color="auto"/>
            </w:tcBorders>
            <w:vAlign w:val="center"/>
            <w:hideMark/>
          </w:tcPr>
          <w:p w14:paraId="353378AD" w14:textId="77777777" w:rsidR="00E02032" w:rsidRPr="004C209D" w:rsidRDefault="00E02032" w:rsidP="00233C12">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12A948BC" w14:textId="77777777" w:rsidR="00E02032" w:rsidRPr="004C209D" w:rsidRDefault="00E02032" w:rsidP="00233C12">
            <w:pPr>
              <w:rPr>
                <w:color w:val="000000" w:themeColor="text1"/>
                <w:sz w:val="16"/>
                <w:szCs w:val="16"/>
              </w:rPr>
            </w:pPr>
          </w:p>
        </w:tc>
        <w:tc>
          <w:tcPr>
            <w:tcW w:w="1418" w:type="dxa"/>
            <w:tcBorders>
              <w:top w:val="nil"/>
              <w:left w:val="nil"/>
              <w:bottom w:val="single" w:sz="4" w:space="0" w:color="auto"/>
              <w:right w:val="single" w:sz="4" w:space="0" w:color="auto"/>
            </w:tcBorders>
            <w:shd w:val="clear" w:color="auto" w:fill="auto"/>
            <w:hideMark/>
          </w:tcPr>
          <w:p w14:paraId="03581D81" w14:textId="77777777" w:rsidR="00E02032" w:rsidRPr="004C209D" w:rsidRDefault="00E02032" w:rsidP="00233C12">
            <w:pPr>
              <w:rPr>
                <w:color w:val="000000" w:themeColor="text1"/>
                <w:sz w:val="16"/>
                <w:szCs w:val="16"/>
              </w:rPr>
            </w:pPr>
            <w:r w:rsidRPr="004C209D">
              <w:rPr>
                <w:color w:val="000000" w:themeColor="text1"/>
                <w:sz w:val="16"/>
                <w:szCs w:val="16"/>
              </w:rPr>
              <w:t>DJEMAH</w:t>
            </w:r>
          </w:p>
        </w:tc>
        <w:tc>
          <w:tcPr>
            <w:tcW w:w="1560" w:type="dxa"/>
            <w:vMerge/>
            <w:tcBorders>
              <w:top w:val="nil"/>
              <w:left w:val="single" w:sz="4" w:space="0" w:color="auto"/>
              <w:bottom w:val="single" w:sz="4" w:space="0" w:color="auto"/>
              <w:right w:val="single" w:sz="4" w:space="0" w:color="auto"/>
            </w:tcBorders>
            <w:vAlign w:val="center"/>
            <w:hideMark/>
          </w:tcPr>
          <w:p w14:paraId="6670A318" w14:textId="77777777" w:rsidR="00E02032" w:rsidRPr="004C209D" w:rsidRDefault="00E02032" w:rsidP="00233C12">
            <w:pPr>
              <w:rPr>
                <w:color w:val="000000" w:themeColor="text1"/>
                <w:sz w:val="16"/>
                <w:szCs w:val="16"/>
              </w:rPr>
            </w:pPr>
          </w:p>
        </w:tc>
        <w:tc>
          <w:tcPr>
            <w:tcW w:w="1417" w:type="dxa"/>
            <w:tcBorders>
              <w:top w:val="nil"/>
              <w:left w:val="nil"/>
              <w:bottom w:val="single" w:sz="4" w:space="0" w:color="auto"/>
              <w:right w:val="single" w:sz="4" w:space="0" w:color="auto"/>
            </w:tcBorders>
            <w:shd w:val="clear" w:color="auto" w:fill="auto"/>
            <w:hideMark/>
          </w:tcPr>
          <w:p w14:paraId="0A2DC9A1"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850" w:type="dxa"/>
            <w:tcBorders>
              <w:top w:val="nil"/>
              <w:left w:val="nil"/>
              <w:bottom w:val="single" w:sz="4" w:space="0" w:color="auto"/>
              <w:right w:val="single" w:sz="4" w:space="0" w:color="auto"/>
            </w:tcBorders>
            <w:shd w:val="clear" w:color="auto" w:fill="auto"/>
            <w:hideMark/>
          </w:tcPr>
          <w:p w14:paraId="199CED46"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34474A5B"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708" w:type="dxa"/>
            <w:tcBorders>
              <w:top w:val="nil"/>
              <w:left w:val="nil"/>
              <w:bottom w:val="single" w:sz="4" w:space="0" w:color="auto"/>
              <w:right w:val="single" w:sz="4" w:space="0" w:color="auto"/>
            </w:tcBorders>
            <w:shd w:val="clear" w:color="auto" w:fill="auto"/>
            <w:hideMark/>
          </w:tcPr>
          <w:p w14:paraId="2DFC5A2E"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nil"/>
              <w:left w:val="nil"/>
              <w:bottom w:val="single" w:sz="4" w:space="0" w:color="auto"/>
              <w:right w:val="single" w:sz="4" w:space="0" w:color="auto"/>
            </w:tcBorders>
            <w:shd w:val="clear" w:color="auto" w:fill="auto"/>
            <w:hideMark/>
          </w:tcPr>
          <w:p w14:paraId="451C5760" w14:textId="77777777" w:rsidR="00E02032" w:rsidRPr="004C209D" w:rsidRDefault="00E02032" w:rsidP="00233C12">
            <w:pPr>
              <w:rPr>
                <w:color w:val="000000" w:themeColor="text1"/>
                <w:sz w:val="16"/>
                <w:szCs w:val="16"/>
              </w:rPr>
            </w:pPr>
            <w:r w:rsidRPr="004C209D">
              <w:rPr>
                <w:color w:val="000000" w:themeColor="text1"/>
                <w:sz w:val="16"/>
                <w:szCs w:val="16"/>
              </w:rPr>
              <w:t> </w:t>
            </w:r>
          </w:p>
        </w:tc>
      </w:tr>
      <w:tr w:rsidR="00E02032" w:rsidRPr="004C209D" w14:paraId="04C298AB" w14:textId="77777777" w:rsidTr="00233C12">
        <w:trPr>
          <w:trHeight w:val="20"/>
        </w:trPr>
        <w:tc>
          <w:tcPr>
            <w:tcW w:w="421" w:type="dxa"/>
            <w:vMerge w:val="restart"/>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16090952" w14:textId="77777777" w:rsidR="00E02032" w:rsidRPr="004C209D" w:rsidRDefault="00E02032" w:rsidP="00233C12">
            <w:pPr>
              <w:jc w:val="center"/>
              <w:rPr>
                <w:b/>
                <w:bCs/>
                <w:color w:val="000000"/>
                <w:sz w:val="16"/>
                <w:szCs w:val="16"/>
              </w:rPr>
            </w:pPr>
            <w:r w:rsidRPr="004C209D">
              <w:rPr>
                <w:b/>
                <w:bCs/>
                <w:color w:val="000000"/>
                <w:sz w:val="16"/>
                <w:szCs w:val="16"/>
              </w:rPr>
              <w:t>7 </w:t>
            </w:r>
          </w:p>
        </w:tc>
        <w:tc>
          <w:tcPr>
            <w:tcW w:w="850" w:type="dxa"/>
            <w:tcBorders>
              <w:top w:val="single" w:sz="4" w:space="0" w:color="auto"/>
              <w:left w:val="nil"/>
              <w:bottom w:val="single" w:sz="4" w:space="0" w:color="auto"/>
              <w:right w:val="single" w:sz="4" w:space="0" w:color="auto"/>
            </w:tcBorders>
            <w:shd w:val="clear" w:color="auto" w:fill="auto"/>
            <w:hideMark/>
          </w:tcPr>
          <w:p w14:paraId="73B7524C" w14:textId="77777777" w:rsidR="00E02032" w:rsidRPr="004C209D" w:rsidRDefault="00E02032" w:rsidP="00233C12">
            <w:pPr>
              <w:rPr>
                <w:color w:val="000000" w:themeColor="text1"/>
                <w:sz w:val="16"/>
                <w:szCs w:val="16"/>
              </w:rPr>
            </w:pPr>
            <w:r w:rsidRPr="004C209D">
              <w:rPr>
                <w:color w:val="000000" w:themeColor="text1"/>
                <w:sz w:val="16"/>
                <w:szCs w:val="16"/>
              </w:rPr>
              <w:t>1er Arr</w:t>
            </w:r>
          </w:p>
        </w:tc>
        <w:tc>
          <w:tcPr>
            <w:tcW w:w="1418" w:type="dxa"/>
            <w:tcBorders>
              <w:top w:val="single" w:sz="4" w:space="0" w:color="auto"/>
              <w:left w:val="nil"/>
              <w:bottom w:val="single" w:sz="4" w:space="0" w:color="auto"/>
              <w:right w:val="single" w:sz="4" w:space="0" w:color="auto"/>
            </w:tcBorders>
            <w:shd w:val="clear" w:color="auto" w:fill="auto"/>
            <w:hideMark/>
          </w:tcPr>
          <w:p w14:paraId="5ADD20B3" w14:textId="77777777" w:rsidR="00E02032" w:rsidRPr="004C209D" w:rsidRDefault="00E02032" w:rsidP="00233C12">
            <w:pPr>
              <w:rPr>
                <w:color w:val="000000" w:themeColor="text1"/>
                <w:sz w:val="16"/>
                <w:szCs w:val="16"/>
              </w:rPr>
            </w:pPr>
            <w:r w:rsidRPr="004C209D">
              <w:rPr>
                <w:color w:val="000000" w:themeColor="text1"/>
                <w:sz w:val="16"/>
                <w:szCs w:val="16"/>
              </w:rPr>
              <w:t>BANGUI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03C4CDD" w14:textId="77777777" w:rsidR="00E02032" w:rsidRPr="004C209D" w:rsidRDefault="00E02032" w:rsidP="00233C12">
            <w:pPr>
              <w:rPr>
                <w:color w:val="000000" w:themeColor="text1"/>
                <w:sz w:val="16"/>
                <w:szCs w:val="16"/>
              </w:rPr>
            </w:pPr>
            <w:r w:rsidRPr="004C209D">
              <w:rPr>
                <w:color w:val="000000" w:themeColor="text1"/>
                <w:sz w:val="16"/>
                <w:szCs w:val="16"/>
              </w:rPr>
              <w:t>DS. 7.1 BANGUI I</w:t>
            </w:r>
          </w:p>
        </w:tc>
        <w:tc>
          <w:tcPr>
            <w:tcW w:w="1417" w:type="dxa"/>
            <w:tcBorders>
              <w:top w:val="single" w:sz="4" w:space="0" w:color="auto"/>
              <w:left w:val="nil"/>
              <w:bottom w:val="single" w:sz="4" w:space="0" w:color="auto"/>
              <w:right w:val="single" w:sz="4" w:space="0" w:color="auto"/>
            </w:tcBorders>
            <w:shd w:val="clear" w:color="auto" w:fill="auto"/>
            <w:hideMark/>
          </w:tcPr>
          <w:p w14:paraId="545DB252" w14:textId="77777777" w:rsidR="00E02032" w:rsidRPr="004C209D" w:rsidRDefault="00E02032" w:rsidP="00233C12">
            <w:pPr>
              <w:rPr>
                <w:color w:val="000000" w:themeColor="text1"/>
                <w:sz w:val="16"/>
                <w:szCs w:val="16"/>
              </w:rPr>
            </w:pPr>
            <w:r w:rsidRPr="004C209D">
              <w:rPr>
                <w:color w:val="000000" w:themeColor="text1"/>
                <w:sz w:val="16"/>
                <w:szCs w:val="16"/>
              </w:rPr>
              <w:t>CDB, AGWL</w:t>
            </w:r>
          </w:p>
        </w:tc>
        <w:tc>
          <w:tcPr>
            <w:tcW w:w="850" w:type="dxa"/>
            <w:tcBorders>
              <w:top w:val="single" w:sz="4" w:space="0" w:color="auto"/>
              <w:left w:val="nil"/>
              <w:bottom w:val="single" w:sz="4" w:space="0" w:color="auto"/>
              <w:right w:val="single" w:sz="4" w:space="0" w:color="auto"/>
            </w:tcBorders>
            <w:shd w:val="clear" w:color="auto" w:fill="auto"/>
            <w:hideMark/>
          </w:tcPr>
          <w:p w14:paraId="298ECD54"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14:paraId="6667EBAD" w14:textId="77777777" w:rsidR="00E02032" w:rsidRPr="004C209D" w:rsidRDefault="00E02032" w:rsidP="00233C12">
            <w:pPr>
              <w:rPr>
                <w:color w:val="000000" w:themeColor="text1"/>
                <w:sz w:val="16"/>
                <w:szCs w:val="16"/>
              </w:rPr>
            </w:pPr>
            <w:r w:rsidRPr="004C209D">
              <w:rPr>
                <w:color w:val="000000" w:themeColor="text1"/>
                <w:sz w:val="16"/>
                <w:szCs w:val="16"/>
              </w:rPr>
              <w:t>CDB</w:t>
            </w:r>
          </w:p>
        </w:tc>
        <w:tc>
          <w:tcPr>
            <w:tcW w:w="708" w:type="dxa"/>
            <w:tcBorders>
              <w:top w:val="single" w:sz="4" w:space="0" w:color="auto"/>
              <w:left w:val="nil"/>
              <w:bottom w:val="single" w:sz="4" w:space="0" w:color="auto"/>
              <w:right w:val="single" w:sz="4" w:space="0" w:color="auto"/>
            </w:tcBorders>
            <w:shd w:val="clear" w:color="auto" w:fill="auto"/>
            <w:hideMark/>
          </w:tcPr>
          <w:p w14:paraId="3BC935B9"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14:paraId="311EC6EF" w14:textId="77777777" w:rsidR="00E02032" w:rsidRPr="004C209D" w:rsidRDefault="00E02032" w:rsidP="00233C12">
            <w:pPr>
              <w:rPr>
                <w:color w:val="000000" w:themeColor="text1"/>
                <w:sz w:val="16"/>
                <w:szCs w:val="16"/>
              </w:rPr>
            </w:pPr>
            <w:r w:rsidRPr="004C209D">
              <w:rPr>
                <w:color w:val="000000" w:themeColor="text1"/>
                <w:sz w:val="16"/>
                <w:szCs w:val="16"/>
              </w:rPr>
              <w:t>CDB, AGWL</w:t>
            </w:r>
          </w:p>
        </w:tc>
      </w:tr>
      <w:tr w:rsidR="00E02032" w:rsidRPr="004C209D" w14:paraId="324D4690" w14:textId="77777777" w:rsidTr="00233C12">
        <w:trPr>
          <w:trHeight w:val="2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3867836E" w14:textId="77777777" w:rsidR="00E02032" w:rsidRPr="004C209D" w:rsidRDefault="00E02032" w:rsidP="00233C12">
            <w:pPr>
              <w:rPr>
                <w:b/>
                <w:bCs/>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hideMark/>
          </w:tcPr>
          <w:p w14:paraId="7629EC59" w14:textId="77777777" w:rsidR="00E02032" w:rsidRPr="004C209D" w:rsidRDefault="00E02032" w:rsidP="00233C12">
            <w:pPr>
              <w:rPr>
                <w:color w:val="000000" w:themeColor="text1"/>
                <w:sz w:val="16"/>
                <w:szCs w:val="16"/>
              </w:rPr>
            </w:pPr>
            <w:r w:rsidRPr="004C209D">
              <w:rPr>
                <w:color w:val="000000" w:themeColor="text1"/>
                <w:sz w:val="16"/>
                <w:szCs w:val="16"/>
              </w:rPr>
              <w:t>2em Arr </w:t>
            </w:r>
          </w:p>
        </w:tc>
        <w:tc>
          <w:tcPr>
            <w:tcW w:w="1418" w:type="dxa"/>
            <w:tcBorders>
              <w:top w:val="single" w:sz="4" w:space="0" w:color="auto"/>
              <w:left w:val="nil"/>
              <w:bottom w:val="single" w:sz="4" w:space="0" w:color="auto"/>
              <w:right w:val="single" w:sz="4" w:space="0" w:color="auto"/>
            </w:tcBorders>
            <w:shd w:val="clear" w:color="auto" w:fill="auto"/>
            <w:hideMark/>
          </w:tcPr>
          <w:p w14:paraId="415D06EC" w14:textId="77777777" w:rsidR="00E02032" w:rsidRPr="004C209D" w:rsidRDefault="00E02032" w:rsidP="00233C12">
            <w:pPr>
              <w:rPr>
                <w:color w:val="000000" w:themeColor="text1"/>
                <w:sz w:val="16"/>
                <w:szCs w:val="16"/>
              </w:rPr>
            </w:pPr>
            <w:r w:rsidRPr="004C209D">
              <w:rPr>
                <w:color w:val="000000" w:themeColor="text1"/>
                <w:sz w:val="16"/>
                <w:szCs w:val="16"/>
              </w:rPr>
              <w:t>BANGUI </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8DF577D" w14:textId="77777777" w:rsidR="00E02032" w:rsidRPr="004C209D" w:rsidRDefault="00E02032" w:rsidP="00233C12">
            <w:pPr>
              <w:rPr>
                <w:color w:val="000000" w:themeColor="text1"/>
                <w:sz w:val="16"/>
                <w:szCs w:val="16"/>
              </w:rPr>
            </w:pPr>
          </w:p>
        </w:tc>
        <w:tc>
          <w:tcPr>
            <w:tcW w:w="1417" w:type="dxa"/>
            <w:tcBorders>
              <w:top w:val="single" w:sz="4" w:space="0" w:color="auto"/>
              <w:left w:val="nil"/>
              <w:bottom w:val="single" w:sz="4" w:space="0" w:color="auto"/>
              <w:right w:val="single" w:sz="4" w:space="0" w:color="auto"/>
            </w:tcBorders>
            <w:shd w:val="clear" w:color="auto" w:fill="auto"/>
            <w:hideMark/>
          </w:tcPr>
          <w:p w14:paraId="1B2C2264" w14:textId="77777777" w:rsidR="00E02032" w:rsidRPr="004C209D" w:rsidRDefault="00E02032" w:rsidP="00233C12">
            <w:pPr>
              <w:rPr>
                <w:color w:val="000000" w:themeColor="text1"/>
                <w:sz w:val="16"/>
                <w:szCs w:val="16"/>
              </w:rPr>
            </w:pPr>
            <w:r w:rsidRPr="004C209D">
              <w:rPr>
                <w:color w:val="000000" w:themeColor="text1"/>
                <w:sz w:val="16"/>
                <w:szCs w:val="16"/>
              </w:rPr>
              <w:t>MSF-F</w:t>
            </w:r>
          </w:p>
        </w:tc>
        <w:tc>
          <w:tcPr>
            <w:tcW w:w="850" w:type="dxa"/>
            <w:tcBorders>
              <w:top w:val="single" w:sz="4" w:space="0" w:color="auto"/>
              <w:left w:val="nil"/>
              <w:bottom w:val="single" w:sz="4" w:space="0" w:color="auto"/>
              <w:right w:val="single" w:sz="4" w:space="0" w:color="auto"/>
            </w:tcBorders>
            <w:shd w:val="clear" w:color="auto" w:fill="auto"/>
            <w:hideMark/>
          </w:tcPr>
          <w:p w14:paraId="073010DA" w14:textId="77777777" w:rsidR="00E02032" w:rsidRPr="004C209D" w:rsidRDefault="00E02032" w:rsidP="00233C12">
            <w:pPr>
              <w:rPr>
                <w:color w:val="000000" w:themeColor="text1"/>
                <w:sz w:val="16"/>
                <w:szCs w:val="16"/>
              </w:rPr>
            </w:pPr>
            <w:r w:rsidRPr="004C209D">
              <w:rPr>
                <w:color w:val="000000" w:themeColor="text1"/>
                <w:sz w:val="16"/>
                <w:szCs w:val="16"/>
              </w:rPr>
              <w:t>MSF-F</w:t>
            </w:r>
          </w:p>
        </w:tc>
        <w:tc>
          <w:tcPr>
            <w:tcW w:w="1276" w:type="dxa"/>
            <w:tcBorders>
              <w:top w:val="single" w:sz="4" w:space="0" w:color="auto"/>
              <w:left w:val="nil"/>
              <w:bottom w:val="single" w:sz="4" w:space="0" w:color="auto"/>
              <w:right w:val="single" w:sz="4" w:space="0" w:color="auto"/>
            </w:tcBorders>
            <w:shd w:val="clear" w:color="auto" w:fill="auto"/>
            <w:hideMark/>
          </w:tcPr>
          <w:p w14:paraId="5A03295A" w14:textId="77777777" w:rsidR="00E02032" w:rsidRPr="004C209D" w:rsidRDefault="00E02032" w:rsidP="00233C12">
            <w:pPr>
              <w:rPr>
                <w:color w:val="000000" w:themeColor="text1"/>
                <w:sz w:val="16"/>
                <w:szCs w:val="16"/>
              </w:rPr>
            </w:pPr>
            <w:r w:rsidRPr="004C209D">
              <w:rPr>
                <w:color w:val="000000" w:themeColor="text1"/>
                <w:sz w:val="16"/>
                <w:szCs w:val="16"/>
              </w:rPr>
              <w:t>ABA, MSF-F</w:t>
            </w:r>
          </w:p>
        </w:tc>
        <w:tc>
          <w:tcPr>
            <w:tcW w:w="708" w:type="dxa"/>
            <w:tcBorders>
              <w:top w:val="single" w:sz="4" w:space="0" w:color="auto"/>
              <w:left w:val="nil"/>
              <w:bottom w:val="single" w:sz="4" w:space="0" w:color="auto"/>
              <w:right w:val="single" w:sz="4" w:space="0" w:color="auto"/>
            </w:tcBorders>
            <w:shd w:val="clear" w:color="auto" w:fill="auto"/>
            <w:hideMark/>
          </w:tcPr>
          <w:p w14:paraId="46563757" w14:textId="77777777" w:rsidR="00E02032" w:rsidRPr="004C209D" w:rsidRDefault="00E02032" w:rsidP="00233C12">
            <w:pPr>
              <w:rPr>
                <w:color w:val="000000" w:themeColor="text1"/>
                <w:sz w:val="16"/>
                <w:szCs w:val="16"/>
              </w:rPr>
            </w:pPr>
            <w:r w:rsidRPr="004C209D">
              <w:rPr>
                <w:color w:val="000000" w:themeColor="text1"/>
                <w:sz w:val="16"/>
                <w:szCs w:val="16"/>
              </w:rPr>
              <w:t>ABA</w:t>
            </w:r>
          </w:p>
        </w:tc>
        <w:tc>
          <w:tcPr>
            <w:tcW w:w="1276" w:type="dxa"/>
            <w:tcBorders>
              <w:top w:val="single" w:sz="4" w:space="0" w:color="auto"/>
              <w:left w:val="nil"/>
              <w:bottom w:val="single" w:sz="4" w:space="0" w:color="auto"/>
              <w:right w:val="single" w:sz="4" w:space="0" w:color="auto"/>
            </w:tcBorders>
            <w:shd w:val="clear" w:color="auto" w:fill="auto"/>
            <w:hideMark/>
          </w:tcPr>
          <w:p w14:paraId="7495CFAE" w14:textId="77777777" w:rsidR="00E02032" w:rsidRPr="004C209D" w:rsidRDefault="00E02032" w:rsidP="00233C12">
            <w:pPr>
              <w:rPr>
                <w:color w:val="000000" w:themeColor="text1"/>
                <w:sz w:val="16"/>
                <w:szCs w:val="16"/>
              </w:rPr>
            </w:pPr>
            <w:r w:rsidRPr="004C209D">
              <w:rPr>
                <w:color w:val="000000" w:themeColor="text1"/>
                <w:sz w:val="16"/>
                <w:szCs w:val="16"/>
              </w:rPr>
              <w:t> </w:t>
            </w:r>
          </w:p>
        </w:tc>
      </w:tr>
      <w:tr w:rsidR="00E02032" w:rsidRPr="004C209D" w14:paraId="5F5E48CD" w14:textId="77777777" w:rsidTr="00233C12">
        <w:trPr>
          <w:trHeight w:val="2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5998E1FF" w14:textId="77777777" w:rsidR="00E02032" w:rsidRPr="004C209D" w:rsidRDefault="00E02032" w:rsidP="00233C12">
            <w:pPr>
              <w:rPr>
                <w:b/>
                <w:bCs/>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hideMark/>
          </w:tcPr>
          <w:p w14:paraId="5922CBC0" w14:textId="77777777" w:rsidR="00E02032" w:rsidRPr="004C209D" w:rsidRDefault="00E02032" w:rsidP="00233C12">
            <w:pPr>
              <w:rPr>
                <w:color w:val="000000" w:themeColor="text1"/>
                <w:sz w:val="16"/>
                <w:szCs w:val="16"/>
              </w:rPr>
            </w:pPr>
            <w:r w:rsidRPr="004C209D">
              <w:rPr>
                <w:color w:val="000000" w:themeColor="text1"/>
                <w:sz w:val="16"/>
                <w:szCs w:val="16"/>
              </w:rPr>
              <w:t>7em Arr </w:t>
            </w:r>
          </w:p>
        </w:tc>
        <w:tc>
          <w:tcPr>
            <w:tcW w:w="1418" w:type="dxa"/>
            <w:tcBorders>
              <w:top w:val="single" w:sz="4" w:space="0" w:color="auto"/>
              <w:left w:val="nil"/>
              <w:bottom w:val="single" w:sz="4" w:space="0" w:color="auto"/>
              <w:right w:val="single" w:sz="4" w:space="0" w:color="auto"/>
            </w:tcBorders>
            <w:shd w:val="clear" w:color="auto" w:fill="auto"/>
            <w:hideMark/>
          </w:tcPr>
          <w:p w14:paraId="26EF75F8" w14:textId="77777777" w:rsidR="00E02032" w:rsidRPr="004C209D" w:rsidRDefault="00E02032" w:rsidP="00233C12">
            <w:pPr>
              <w:rPr>
                <w:color w:val="000000" w:themeColor="text1"/>
                <w:sz w:val="16"/>
                <w:szCs w:val="16"/>
              </w:rPr>
            </w:pPr>
            <w:r w:rsidRPr="004C209D">
              <w:rPr>
                <w:color w:val="000000" w:themeColor="text1"/>
                <w:sz w:val="16"/>
                <w:szCs w:val="16"/>
              </w:rPr>
              <w:t>BANGUI </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B8D702D" w14:textId="77777777" w:rsidR="00E02032" w:rsidRPr="004C209D" w:rsidRDefault="00E02032" w:rsidP="00233C12">
            <w:pPr>
              <w:rPr>
                <w:color w:val="000000" w:themeColor="text1"/>
                <w:sz w:val="16"/>
                <w:szCs w:val="16"/>
              </w:rPr>
            </w:pPr>
          </w:p>
        </w:tc>
        <w:tc>
          <w:tcPr>
            <w:tcW w:w="1417" w:type="dxa"/>
            <w:tcBorders>
              <w:top w:val="single" w:sz="4" w:space="0" w:color="auto"/>
              <w:left w:val="nil"/>
              <w:bottom w:val="single" w:sz="4" w:space="0" w:color="auto"/>
              <w:right w:val="single" w:sz="4" w:space="0" w:color="auto"/>
            </w:tcBorders>
            <w:shd w:val="clear" w:color="auto" w:fill="auto"/>
            <w:hideMark/>
          </w:tcPr>
          <w:p w14:paraId="0C155A53" w14:textId="77777777" w:rsidR="00E02032" w:rsidRPr="004C209D" w:rsidRDefault="00E02032" w:rsidP="00233C12">
            <w:pPr>
              <w:rPr>
                <w:color w:val="000000" w:themeColor="text1"/>
                <w:sz w:val="16"/>
                <w:szCs w:val="16"/>
              </w:rPr>
            </w:pPr>
            <w:r w:rsidRPr="004C209D">
              <w:rPr>
                <w:color w:val="000000" w:themeColor="text1"/>
                <w:sz w:val="16"/>
                <w:szCs w:val="16"/>
              </w:rPr>
              <w:t>IRC, TEARFUND</w:t>
            </w:r>
          </w:p>
        </w:tc>
        <w:tc>
          <w:tcPr>
            <w:tcW w:w="850" w:type="dxa"/>
            <w:tcBorders>
              <w:top w:val="single" w:sz="4" w:space="0" w:color="auto"/>
              <w:left w:val="nil"/>
              <w:bottom w:val="single" w:sz="4" w:space="0" w:color="auto"/>
              <w:right w:val="single" w:sz="4" w:space="0" w:color="auto"/>
            </w:tcBorders>
            <w:shd w:val="clear" w:color="auto" w:fill="auto"/>
            <w:hideMark/>
          </w:tcPr>
          <w:p w14:paraId="2A36CBD0"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14:paraId="1335C41B" w14:textId="77777777" w:rsidR="00E02032" w:rsidRPr="004C209D" w:rsidRDefault="00E02032" w:rsidP="00233C12">
            <w:pPr>
              <w:rPr>
                <w:color w:val="000000" w:themeColor="text1"/>
                <w:sz w:val="16"/>
                <w:szCs w:val="16"/>
              </w:rPr>
            </w:pPr>
            <w:r w:rsidRPr="004C209D">
              <w:rPr>
                <w:color w:val="000000" w:themeColor="text1"/>
                <w:sz w:val="16"/>
                <w:szCs w:val="16"/>
              </w:rPr>
              <w:t>IRC</w:t>
            </w:r>
          </w:p>
        </w:tc>
        <w:tc>
          <w:tcPr>
            <w:tcW w:w="708" w:type="dxa"/>
            <w:tcBorders>
              <w:top w:val="single" w:sz="4" w:space="0" w:color="auto"/>
              <w:left w:val="nil"/>
              <w:bottom w:val="single" w:sz="4" w:space="0" w:color="auto"/>
              <w:right w:val="single" w:sz="4" w:space="0" w:color="auto"/>
            </w:tcBorders>
            <w:shd w:val="clear" w:color="auto" w:fill="auto"/>
            <w:hideMark/>
          </w:tcPr>
          <w:p w14:paraId="10B0F59C"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14:paraId="6FCB252E" w14:textId="77777777" w:rsidR="00E02032" w:rsidRPr="004C209D" w:rsidRDefault="00E02032" w:rsidP="00233C12">
            <w:pPr>
              <w:rPr>
                <w:color w:val="000000" w:themeColor="text1"/>
                <w:sz w:val="16"/>
                <w:szCs w:val="16"/>
              </w:rPr>
            </w:pPr>
            <w:r w:rsidRPr="004C209D">
              <w:rPr>
                <w:color w:val="000000" w:themeColor="text1"/>
                <w:sz w:val="16"/>
                <w:szCs w:val="16"/>
              </w:rPr>
              <w:t>IRC, TEARFUND</w:t>
            </w:r>
          </w:p>
        </w:tc>
      </w:tr>
      <w:tr w:rsidR="00E02032" w:rsidRPr="004C209D" w14:paraId="02B7CDBE" w14:textId="77777777" w:rsidTr="00233C12">
        <w:trPr>
          <w:trHeight w:val="2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3F1BBA50" w14:textId="77777777" w:rsidR="00E02032" w:rsidRPr="004C209D" w:rsidRDefault="00E02032" w:rsidP="00233C12">
            <w:pPr>
              <w:rPr>
                <w:b/>
                <w:bCs/>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hideMark/>
          </w:tcPr>
          <w:p w14:paraId="25C760BC" w14:textId="77777777" w:rsidR="00E02032" w:rsidRPr="004C209D" w:rsidRDefault="00E02032" w:rsidP="00233C12">
            <w:pPr>
              <w:rPr>
                <w:color w:val="000000" w:themeColor="text1"/>
                <w:sz w:val="16"/>
                <w:szCs w:val="16"/>
              </w:rPr>
            </w:pPr>
            <w:r w:rsidRPr="004C209D">
              <w:rPr>
                <w:color w:val="000000" w:themeColor="text1"/>
                <w:sz w:val="16"/>
                <w:szCs w:val="16"/>
              </w:rPr>
              <w:t>3em Arr </w:t>
            </w:r>
          </w:p>
        </w:tc>
        <w:tc>
          <w:tcPr>
            <w:tcW w:w="1418" w:type="dxa"/>
            <w:tcBorders>
              <w:top w:val="single" w:sz="4" w:space="0" w:color="auto"/>
              <w:left w:val="nil"/>
              <w:bottom w:val="single" w:sz="4" w:space="0" w:color="auto"/>
              <w:right w:val="single" w:sz="4" w:space="0" w:color="auto"/>
            </w:tcBorders>
            <w:shd w:val="clear" w:color="auto" w:fill="auto"/>
            <w:hideMark/>
          </w:tcPr>
          <w:p w14:paraId="6CD6E5AF" w14:textId="77777777" w:rsidR="00E02032" w:rsidRPr="004C209D" w:rsidRDefault="00E02032" w:rsidP="00233C12">
            <w:pPr>
              <w:rPr>
                <w:color w:val="000000" w:themeColor="text1"/>
                <w:sz w:val="16"/>
                <w:szCs w:val="16"/>
              </w:rPr>
            </w:pPr>
            <w:r w:rsidRPr="004C209D">
              <w:rPr>
                <w:color w:val="000000" w:themeColor="text1"/>
                <w:sz w:val="16"/>
                <w:szCs w:val="16"/>
              </w:rPr>
              <w:t>BANGUI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365F2B" w14:textId="77777777" w:rsidR="00E02032" w:rsidRPr="004C209D" w:rsidRDefault="00E02032" w:rsidP="00233C12">
            <w:pPr>
              <w:rPr>
                <w:color w:val="000000" w:themeColor="text1"/>
                <w:sz w:val="16"/>
                <w:szCs w:val="16"/>
              </w:rPr>
            </w:pPr>
            <w:r w:rsidRPr="004C209D">
              <w:rPr>
                <w:color w:val="000000" w:themeColor="text1"/>
                <w:sz w:val="16"/>
                <w:szCs w:val="16"/>
              </w:rPr>
              <w:t>DS. 7.2 BANGUI II</w:t>
            </w:r>
          </w:p>
        </w:tc>
        <w:tc>
          <w:tcPr>
            <w:tcW w:w="1417" w:type="dxa"/>
            <w:tcBorders>
              <w:top w:val="single" w:sz="4" w:space="0" w:color="auto"/>
              <w:left w:val="nil"/>
              <w:bottom w:val="single" w:sz="4" w:space="0" w:color="auto"/>
              <w:right w:val="single" w:sz="4" w:space="0" w:color="auto"/>
            </w:tcBorders>
            <w:shd w:val="clear" w:color="auto" w:fill="auto"/>
            <w:hideMark/>
          </w:tcPr>
          <w:p w14:paraId="3FED9A03" w14:textId="77777777" w:rsidR="00E02032" w:rsidRPr="004C209D" w:rsidRDefault="00E02032" w:rsidP="00233C12">
            <w:pPr>
              <w:rPr>
                <w:color w:val="000000" w:themeColor="text1"/>
                <w:sz w:val="16"/>
                <w:szCs w:val="16"/>
              </w:rPr>
            </w:pPr>
            <w:r w:rsidRPr="004C209D">
              <w:rPr>
                <w:color w:val="000000" w:themeColor="text1"/>
                <w:sz w:val="16"/>
                <w:szCs w:val="16"/>
              </w:rPr>
              <w:t>DRC, REPCA</w:t>
            </w:r>
          </w:p>
        </w:tc>
        <w:tc>
          <w:tcPr>
            <w:tcW w:w="850" w:type="dxa"/>
            <w:tcBorders>
              <w:top w:val="single" w:sz="4" w:space="0" w:color="auto"/>
              <w:left w:val="nil"/>
              <w:bottom w:val="single" w:sz="4" w:space="0" w:color="auto"/>
              <w:right w:val="single" w:sz="4" w:space="0" w:color="auto"/>
            </w:tcBorders>
            <w:shd w:val="clear" w:color="auto" w:fill="auto"/>
            <w:hideMark/>
          </w:tcPr>
          <w:p w14:paraId="193A3112" w14:textId="77777777" w:rsidR="00E02032" w:rsidRPr="004C209D" w:rsidRDefault="00E02032" w:rsidP="00233C12">
            <w:pPr>
              <w:rPr>
                <w:color w:val="000000" w:themeColor="text1"/>
                <w:sz w:val="16"/>
                <w:szCs w:val="16"/>
              </w:rPr>
            </w:pPr>
            <w:r w:rsidRPr="004C209D">
              <w:rPr>
                <w:color w:val="000000" w:themeColor="text1"/>
                <w:sz w:val="16"/>
                <w:szCs w:val="16"/>
              </w:rPr>
              <w:t>MSF-B</w:t>
            </w:r>
          </w:p>
        </w:tc>
        <w:tc>
          <w:tcPr>
            <w:tcW w:w="1276" w:type="dxa"/>
            <w:tcBorders>
              <w:top w:val="single" w:sz="4" w:space="0" w:color="auto"/>
              <w:left w:val="nil"/>
              <w:bottom w:val="single" w:sz="4" w:space="0" w:color="auto"/>
              <w:right w:val="single" w:sz="4" w:space="0" w:color="auto"/>
            </w:tcBorders>
            <w:shd w:val="clear" w:color="auto" w:fill="auto"/>
            <w:hideMark/>
          </w:tcPr>
          <w:p w14:paraId="68793A0E" w14:textId="77777777" w:rsidR="00E02032" w:rsidRPr="00105641" w:rsidRDefault="00E02032" w:rsidP="00233C12">
            <w:pPr>
              <w:rPr>
                <w:color w:val="000000" w:themeColor="text1"/>
                <w:sz w:val="16"/>
                <w:szCs w:val="16"/>
                <w:lang w:val="en-US"/>
              </w:rPr>
            </w:pPr>
            <w:r w:rsidRPr="00105641">
              <w:rPr>
                <w:color w:val="000000" w:themeColor="text1"/>
                <w:sz w:val="16"/>
                <w:szCs w:val="16"/>
                <w:lang w:val="en-US"/>
              </w:rPr>
              <w:t>DRC, ABA, MSF-B, REPCA</w:t>
            </w:r>
          </w:p>
        </w:tc>
        <w:tc>
          <w:tcPr>
            <w:tcW w:w="708" w:type="dxa"/>
            <w:tcBorders>
              <w:top w:val="single" w:sz="4" w:space="0" w:color="auto"/>
              <w:left w:val="nil"/>
              <w:bottom w:val="single" w:sz="4" w:space="0" w:color="auto"/>
              <w:right w:val="single" w:sz="4" w:space="0" w:color="auto"/>
            </w:tcBorders>
            <w:shd w:val="clear" w:color="auto" w:fill="auto"/>
            <w:hideMark/>
          </w:tcPr>
          <w:p w14:paraId="0DB525F9" w14:textId="77777777" w:rsidR="00E02032" w:rsidRPr="004C209D" w:rsidRDefault="00E02032" w:rsidP="00233C12">
            <w:pPr>
              <w:rPr>
                <w:color w:val="000000" w:themeColor="text1"/>
                <w:sz w:val="16"/>
                <w:szCs w:val="16"/>
              </w:rPr>
            </w:pPr>
            <w:r w:rsidRPr="004C209D">
              <w:rPr>
                <w:color w:val="000000" w:themeColor="text1"/>
                <w:sz w:val="16"/>
                <w:szCs w:val="16"/>
              </w:rPr>
              <w:t>ABA</w:t>
            </w:r>
          </w:p>
        </w:tc>
        <w:tc>
          <w:tcPr>
            <w:tcW w:w="1276" w:type="dxa"/>
            <w:tcBorders>
              <w:top w:val="single" w:sz="4" w:space="0" w:color="auto"/>
              <w:left w:val="nil"/>
              <w:bottom w:val="single" w:sz="4" w:space="0" w:color="auto"/>
              <w:right w:val="single" w:sz="4" w:space="0" w:color="auto"/>
            </w:tcBorders>
            <w:shd w:val="clear" w:color="auto" w:fill="auto"/>
            <w:hideMark/>
          </w:tcPr>
          <w:p w14:paraId="797E70BC" w14:textId="77777777" w:rsidR="00E02032" w:rsidRPr="004C209D" w:rsidRDefault="00E02032" w:rsidP="00233C12">
            <w:pPr>
              <w:rPr>
                <w:color w:val="000000" w:themeColor="text1"/>
                <w:sz w:val="16"/>
                <w:szCs w:val="16"/>
              </w:rPr>
            </w:pPr>
            <w:r w:rsidRPr="004C209D">
              <w:rPr>
                <w:color w:val="000000" w:themeColor="text1"/>
                <w:sz w:val="16"/>
                <w:szCs w:val="16"/>
              </w:rPr>
              <w:t>DRC</w:t>
            </w:r>
          </w:p>
        </w:tc>
      </w:tr>
      <w:tr w:rsidR="00E02032" w:rsidRPr="004C209D" w14:paraId="0D5AB579" w14:textId="77777777" w:rsidTr="00233C12">
        <w:trPr>
          <w:trHeight w:val="2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605CA5CC" w14:textId="77777777" w:rsidR="00E02032" w:rsidRPr="004C209D" w:rsidRDefault="00E02032" w:rsidP="00233C12">
            <w:pPr>
              <w:rPr>
                <w:b/>
                <w:bCs/>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hideMark/>
          </w:tcPr>
          <w:p w14:paraId="5D5170A8" w14:textId="77777777" w:rsidR="00E02032" w:rsidRPr="004C209D" w:rsidRDefault="00E02032" w:rsidP="00233C12">
            <w:pPr>
              <w:rPr>
                <w:color w:val="000000" w:themeColor="text1"/>
                <w:sz w:val="16"/>
                <w:szCs w:val="16"/>
              </w:rPr>
            </w:pPr>
            <w:r w:rsidRPr="004C209D">
              <w:rPr>
                <w:color w:val="000000" w:themeColor="text1"/>
                <w:sz w:val="16"/>
                <w:szCs w:val="16"/>
              </w:rPr>
              <w:t>5em Arr</w:t>
            </w:r>
          </w:p>
        </w:tc>
        <w:tc>
          <w:tcPr>
            <w:tcW w:w="1418" w:type="dxa"/>
            <w:tcBorders>
              <w:top w:val="single" w:sz="4" w:space="0" w:color="auto"/>
              <w:left w:val="nil"/>
              <w:bottom w:val="single" w:sz="4" w:space="0" w:color="auto"/>
              <w:right w:val="single" w:sz="4" w:space="0" w:color="auto"/>
            </w:tcBorders>
            <w:shd w:val="clear" w:color="auto" w:fill="auto"/>
            <w:hideMark/>
          </w:tcPr>
          <w:p w14:paraId="185BBCF1" w14:textId="77777777" w:rsidR="00E02032" w:rsidRPr="004C209D" w:rsidRDefault="00E02032" w:rsidP="00233C12">
            <w:pPr>
              <w:rPr>
                <w:color w:val="000000" w:themeColor="text1"/>
                <w:sz w:val="16"/>
                <w:szCs w:val="16"/>
              </w:rPr>
            </w:pPr>
            <w:r w:rsidRPr="004C209D">
              <w:rPr>
                <w:color w:val="000000" w:themeColor="text1"/>
                <w:sz w:val="16"/>
                <w:szCs w:val="16"/>
              </w:rPr>
              <w:t>BANGUI </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26C3036" w14:textId="77777777" w:rsidR="00E02032" w:rsidRPr="004C209D" w:rsidRDefault="00E02032" w:rsidP="00233C12">
            <w:pPr>
              <w:rPr>
                <w:color w:val="000000" w:themeColor="text1"/>
                <w:sz w:val="16"/>
                <w:szCs w:val="16"/>
              </w:rPr>
            </w:pPr>
          </w:p>
        </w:tc>
        <w:tc>
          <w:tcPr>
            <w:tcW w:w="1417" w:type="dxa"/>
            <w:tcBorders>
              <w:top w:val="single" w:sz="4" w:space="0" w:color="auto"/>
              <w:left w:val="nil"/>
              <w:bottom w:val="single" w:sz="4" w:space="0" w:color="auto"/>
              <w:right w:val="single" w:sz="4" w:space="0" w:color="auto"/>
            </w:tcBorders>
            <w:shd w:val="clear" w:color="auto" w:fill="auto"/>
            <w:hideMark/>
          </w:tcPr>
          <w:p w14:paraId="5B82461B" w14:textId="77777777" w:rsidR="00E02032" w:rsidRPr="004C209D" w:rsidRDefault="00E02032" w:rsidP="00233C12">
            <w:pPr>
              <w:rPr>
                <w:color w:val="000000" w:themeColor="text1"/>
                <w:sz w:val="16"/>
                <w:szCs w:val="16"/>
              </w:rPr>
            </w:pPr>
            <w:r w:rsidRPr="004C209D">
              <w:rPr>
                <w:color w:val="000000" w:themeColor="text1"/>
                <w:sz w:val="16"/>
                <w:szCs w:val="16"/>
              </w:rPr>
              <w:t>DRC, IRC, AGWL, TEARFUND</w:t>
            </w:r>
          </w:p>
        </w:tc>
        <w:tc>
          <w:tcPr>
            <w:tcW w:w="850" w:type="dxa"/>
            <w:tcBorders>
              <w:top w:val="single" w:sz="4" w:space="0" w:color="auto"/>
              <w:left w:val="nil"/>
              <w:bottom w:val="single" w:sz="4" w:space="0" w:color="auto"/>
              <w:right w:val="single" w:sz="4" w:space="0" w:color="auto"/>
            </w:tcBorders>
            <w:shd w:val="clear" w:color="auto" w:fill="auto"/>
            <w:hideMark/>
          </w:tcPr>
          <w:p w14:paraId="2FC86662" w14:textId="77777777" w:rsidR="00E02032" w:rsidRPr="004C209D" w:rsidRDefault="00E02032" w:rsidP="00233C12">
            <w:pPr>
              <w:rPr>
                <w:color w:val="000000" w:themeColor="text1"/>
                <w:sz w:val="16"/>
                <w:szCs w:val="16"/>
              </w:rPr>
            </w:pPr>
            <w:r w:rsidRPr="004C209D">
              <w:rPr>
                <w:color w:val="000000" w:themeColor="text1"/>
                <w:sz w:val="16"/>
                <w:szCs w:val="16"/>
              </w:rPr>
              <w:t>MDM, MSF-E</w:t>
            </w:r>
          </w:p>
        </w:tc>
        <w:tc>
          <w:tcPr>
            <w:tcW w:w="1276" w:type="dxa"/>
            <w:tcBorders>
              <w:top w:val="single" w:sz="4" w:space="0" w:color="auto"/>
              <w:left w:val="nil"/>
              <w:bottom w:val="single" w:sz="4" w:space="0" w:color="auto"/>
              <w:right w:val="single" w:sz="4" w:space="0" w:color="auto"/>
            </w:tcBorders>
            <w:shd w:val="clear" w:color="auto" w:fill="auto"/>
            <w:hideMark/>
          </w:tcPr>
          <w:p w14:paraId="360C78A5" w14:textId="77777777" w:rsidR="00E02032" w:rsidRPr="00105641" w:rsidRDefault="00E02032" w:rsidP="00233C12">
            <w:pPr>
              <w:rPr>
                <w:color w:val="000000" w:themeColor="text1"/>
                <w:sz w:val="16"/>
                <w:szCs w:val="16"/>
                <w:lang w:val="en-US"/>
              </w:rPr>
            </w:pPr>
            <w:r w:rsidRPr="00105641">
              <w:rPr>
                <w:color w:val="000000" w:themeColor="text1"/>
                <w:sz w:val="16"/>
                <w:szCs w:val="16"/>
                <w:lang w:val="en-US"/>
              </w:rPr>
              <w:t>DRC, MDM, MSF-S, IRC</w:t>
            </w:r>
          </w:p>
        </w:tc>
        <w:tc>
          <w:tcPr>
            <w:tcW w:w="708" w:type="dxa"/>
            <w:tcBorders>
              <w:top w:val="single" w:sz="4" w:space="0" w:color="auto"/>
              <w:left w:val="nil"/>
              <w:bottom w:val="single" w:sz="4" w:space="0" w:color="auto"/>
              <w:right w:val="single" w:sz="4" w:space="0" w:color="auto"/>
            </w:tcBorders>
            <w:shd w:val="clear" w:color="auto" w:fill="auto"/>
            <w:hideMark/>
          </w:tcPr>
          <w:p w14:paraId="177D30E1" w14:textId="77777777" w:rsidR="00E02032" w:rsidRPr="00105641" w:rsidRDefault="00E02032" w:rsidP="00233C12">
            <w:pPr>
              <w:rPr>
                <w:color w:val="000000" w:themeColor="text1"/>
                <w:sz w:val="16"/>
                <w:szCs w:val="16"/>
                <w:lang w:val="en-US"/>
              </w:rPr>
            </w:pPr>
            <w:r w:rsidRPr="00105641">
              <w:rPr>
                <w:color w:val="000000" w:themeColor="text1"/>
                <w:sz w:val="16"/>
                <w:szCs w:val="16"/>
                <w:lang w:val="en-US"/>
              </w:rPr>
              <w:t> </w:t>
            </w:r>
          </w:p>
        </w:tc>
        <w:tc>
          <w:tcPr>
            <w:tcW w:w="1276" w:type="dxa"/>
            <w:tcBorders>
              <w:top w:val="single" w:sz="4" w:space="0" w:color="auto"/>
              <w:left w:val="nil"/>
              <w:bottom w:val="single" w:sz="4" w:space="0" w:color="auto"/>
              <w:right w:val="single" w:sz="4" w:space="0" w:color="auto"/>
            </w:tcBorders>
            <w:shd w:val="clear" w:color="auto" w:fill="auto"/>
            <w:hideMark/>
          </w:tcPr>
          <w:p w14:paraId="38C8E089" w14:textId="77777777" w:rsidR="00E02032" w:rsidRPr="004C209D" w:rsidRDefault="00E02032" w:rsidP="00233C12">
            <w:pPr>
              <w:rPr>
                <w:color w:val="000000" w:themeColor="text1"/>
                <w:sz w:val="16"/>
                <w:szCs w:val="16"/>
              </w:rPr>
            </w:pPr>
            <w:r w:rsidRPr="004C209D">
              <w:rPr>
                <w:color w:val="000000" w:themeColor="text1"/>
                <w:sz w:val="16"/>
                <w:szCs w:val="16"/>
              </w:rPr>
              <w:t>DRC, IRC, AGWL</w:t>
            </w:r>
          </w:p>
        </w:tc>
      </w:tr>
      <w:tr w:rsidR="00E02032" w:rsidRPr="004C209D" w14:paraId="7875F91D" w14:textId="77777777" w:rsidTr="00233C12">
        <w:trPr>
          <w:trHeight w:val="2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6BF0A44B" w14:textId="77777777" w:rsidR="00E02032" w:rsidRPr="004C209D" w:rsidRDefault="00E02032" w:rsidP="00233C12">
            <w:pPr>
              <w:rPr>
                <w:b/>
                <w:bCs/>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hideMark/>
          </w:tcPr>
          <w:p w14:paraId="09DBBA13" w14:textId="77777777" w:rsidR="00E02032" w:rsidRPr="004C209D" w:rsidRDefault="00E02032" w:rsidP="00233C12">
            <w:pPr>
              <w:rPr>
                <w:color w:val="000000" w:themeColor="text1"/>
                <w:sz w:val="16"/>
                <w:szCs w:val="16"/>
              </w:rPr>
            </w:pPr>
            <w:r w:rsidRPr="004C209D">
              <w:rPr>
                <w:color w:val="000000" w:themeColor="text1"/>
                <w:sz w:val="16"/>
                <w:szCs w:val="16"/>
              </w:rPr>
              <w:t>6em Arr</w:t>
            </w:r>
          </w:p>
        </w:tc>
        <w:tc>
          <w:tcPr>
            <w:tcW w:w="1418" w:type="dxa"/>
            <w:tcBorders>
              <w:top w:val="single" w:sz="4" w:space="0" w:color="auto"/>
              <w:left w:val="nil"/>
              <w:bottom w:val="single" w:sz="4" w:space="0" w:color="auto"/>
              <w:right w:val="single" w:sz="4" w:space="0" w:color="auto"/>
            </w:tcBorders>
            <w:shd w:val="clear" w:color="auto" w:fill="auto"/>
            <w:hideMark/>
          </w:tcPr>
          <w:p w14:paraId="4D7E22E0" w14:textId="77777777" w:rsidR="00E02032" w:rsidRPr="004C209D" w:rsidRDefault="00E02032" w:rsidP="00233C12">
            <w:pPr>
              <w:rPr>
                <w:color w:val="000000" w:themeColor="text1"/>
                <w:sz w:val="16"/>
                <w:szCs w:val="16"/>
              </w:rPr>
            </w:pPr>
            <w:r w:rsidRPr="004C209D">
              <w:rPr>
                <w:color w:val="000000" w:themeColor="text1"/>
                <w:sz w:val="16"/>
                <w:szCs w:val="16"/>
              </w:rPr>
              <w:t>BANGUI </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B0CB926" w14:textId="77777777" w:rsidR="00E02032" w:rsidRPr="004C209D" w:rsidRDefault="00E02032" w:rsidP="00233C12">
            <w:pPr>
              <w:rPr>
                <w:color w:val="000000" w:themeColor="text1"/>
                <w:sz w:val="16"/>
                <w:szCs w:val="16"/>
              </w:rPr>
            </w:pPr>
          </w:p>
        </w:tc>
        <w:tc>
          <w:tcPr>
            <w:tcW w:w="1417" w:type="dxa"/>
            <w:tcBorders>
              <w:top w:val="single" w:sz="4" w:space="0" w:color="auto"/>
              <w:left w:val="nil"/>
              <w:bottom w:val="single" w:sz="4" w:space="0" w:color="auto"/>
              <w:right w:val="single" w:sz="4" w:space="0" w:color="auto"/>
            </w:tcBorders>
            <w:shd w:val="clear" w:color="auto" w:fill="auto"/>
            <w:hideMark/>
          </w:tcPr>
          <w:p w14:paraId="3227D57A"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850" w:type="dxa"/>
            <w:tcBorders>
              <w:top w:val="single" w:sz="4" w:space="0" w:color="auto"/>
              <w:left w:val="nil"/>
              <w:bottom w:val="single" w:sz="4" w:space="0" w:color="auto"/>
              <w:right w:val="single" w:sz="4" w:space="0" w:color="auto"/>
            </w:tcBorders>
            <w:shd w:val="clear" w:color="auto" w:fill="auto"/>
            <w:hideMark/>
          </w:tcPr>
          <w:p w14:paraId="3D3567BC" w14:textId="77777777" w:rsidR="00E02032" w:rsidRPr="004C209D" w:rsidRDefault="00E02032" w:rsidP="00233C12">
            <w:pPr>
              <w:rPr>
                <w:color w:val="000000" w:themeColor="text1"/>
                <w:sz w:val="16"/>
                <w:szCs w:val="16"/>
              </w:rPr>
            </w:pPr>
            <w:r w:rsidRPr="004C209D">
              <w:rPr>
                <w:color w:val="000000" w:themeColor="text1"/>
                <w:sz w:val="16"/>
                <w:szCs w:val="16"/>
              </w:rPr>
              <w:t>ALIMA</w:t>
            </w:r>
          </w:p>
        </w:tc>
        <w:tc>
          <w:tcPr>
            <w:tcW w:w="1276" w:type="dxa"/>
            <w:tcBorders>
              <w:top w:val="single" w:sz="4" w:space="0" w:color="auto"/>
              <w:left w:val="nil"/>
              <w:bottom w:val="single" w:sz="4" w:space="0" w:color="auto"/>
              <w:right w:val="single" w:sz="4" w:space="0" w:color="auto"/>
            </w:tcBorders>
            <w:shd w:val="clear" w:color="auto" w:fill="auto"/>
            <w:hideMark/>
          </w:tcPr>
          <w:p w14:paraId="44D97CE6" w14:textId="77777777" w:rsidR="00E02032" w:rsidRPr="004C209D" w:rsidRDefault="00E02032" w:rsidP="00233C12">
            <w:pPr>
              <w:rPr>
                <w:color w:val="000000" w:themeColor="text1"/>
                <w:sz w:val="16"/>
                <w:szCs w:val="16"/>
              </w:rPr>
            </w:pPr>
            <w:r w:rsidRPr="004C209D">
              <w:rPr>
                <w:color w:val="000000" w:themeColor="text1"/>
                <w:sz w:val="16"/>
                <w:szCs w:val="16"/>
              </w:rPr>
              <w:t>ALIMA, ROPPLV</w:t>
            </w:r>
          </w:p>
        </w:tc>
        <w:tc>
          <w:tcPr>
            <w:tcW w:w="708" w:type="dxa"/>
            <w:tcBorders>
              <w:top w:val="single" w:sz="4" w:space="0" w:color="auto"/>
              <w:left w:val="nil"/>
              <w:bottom w:val="single" w:sz="4" w:space="0" w:color="auto"/>
              <w:right w:val="single" w:sz="4" w:space="0" w:color="auto"/>
            </w:tcBorders>
            <w:shd w:val="clear" w:color="auto" w:fill="auto"/>
            <w:hideMark/>
          </w:tcPr>
          <w:p w14:paraId="66996915"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14:paraId="26612931" w14:textId="77777777" w:rsidR="00E02032" w:rsidRPr="004C209D" w:rsidRDefault="00E02032" w:rsidP="00233C12">
            <w:pPr>
              <w:rPr>
                <w:color w:val="000000" w:themeColor="text1"/>
                <w:sz w:val="16"/>
                <w:szCs w:val="16"/>
              </w:rPr>
            </w:pPr>
            <w:r w:rsidRPr="004C209D">
              <w:rPr>
                <w:color w:val="000000" w:themeColor="text1"/>
                <w:sz w:val="16"/>
                <w:szCs w:val="16"/>
              </w:rPr>
              <w:t>ROPPLV</w:t>
            </w:r>
          </w:p>
        </w:tc>
      </w:tr>
      <w:tr w:rsidR="00E02032" w:rsidRPr="004C209D" w14:paraId="2B12C3FE" w14:textId="77777777" w:rsidTr="00233C12">
        <w:trPr>
          <w:trHeight w:val="2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60E2D634" w14:textId="77777777" w:rsidR="00E02032" w:rsidRPr="004C209D" w:rsidRDefault="00E02032" w:rsidP="00233C12">
            <w:pPr>
              <w:rPr>
                <w:b/>
                <w:bCs/>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hideMark/>
          </w:tcPr>
          <w:p w14:paraId="79406EB7" w14:textId="77777777" w:rsidR="00E02032" w:rsidRPr="004C209D" w:rsidRDefault="00E02032" w:rsidP="00233C12">
            <w:pPr>
              <w:rPr>
                <w:color w:val="000000" w:themeColor="text1"/>
                <w:sz w:val="16"/>
                <w:szCs w:val="16"/>
              </w:rPr>
            </w:pPr>
            <w:r w:rsidRPr="004C209D">
              <w:rPr>
                <w:color w:val="000000" w:themeColor="text1"/>
                <w:sz w:val="16"/>
                <w:szCs w:val="16"/>
              </w:rPr>
              <w:t>4em Arr </w:t>
            </w:r>
          </w:p>
        </w:tc>
        <w:tc>
          <w:tcPr>
            <w:tcW w:w="1418" w:type="dxa"/>
            <w:tcBorders>
              <w:top w:val="single" w:sz="4" w:space="0" w:color="auto"/>
              <w:left w:val="nil"/>
              <w:bottom w:val="single" w:sz="4" w:space="0" w:color="auto"/>
              <w:right w:val="single" w:sz="4" w:space="0" w:color="auto"/>
            </w:tcBorders>
            <w:shd w:val="clear" w:color="auto" w:fill="auto"/>
            <w:hideMark/>
          </w:tcPr>
          <w:p w14:paraId="37E45CEA" w14:textId="77777777" w:rsidR="00E02032" w:rsidRPr="004C209D" w:rsidRDefault="00E02032" w:rsidP="00233C12">
            <w:pPr>
              <w:rPr>
                <w:color w:val="000000" w:themeColor="text1"/>
                <w:sz w:val="16"/>
                <w:szCs w:val="16"/>
              </w:rPr>
            </w:pPr>
            <w:r w:rsidRPr="004C209D">
              <w:rPr>
                <w:color w:val="000000" w:themeColor="text1"/>
                <w:sz w:val="16"/>
                <w:szCs w:val="16"/>
              </w:rPr>
              <w:t>BANGUI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ECD4F5A" w14:textId="77777777" w:rsidR="00E02032" w:rsidRPr="004C209D" w:rsidRDefault="00E02032" w:rsidP="00233C12">
            <w:pPr>
              <w:rPr>
                <w:color w:val="000000" w:themeColor="text1"/>
                <w:sz w:val="16"/>
                <w:szCs w:val="16"/>
              </w:rPr>
            </w:pPr>
            <w:r w:rsidRPr="004C209D">
              <w:rPr>
                <w:color w:val="000000" w:themeColor="text1"/>
                <w:sz w:val="16"/>
                <w:szCs w:val="16"/>
              </w:rPr>
              <w:t>DS. 7.3 BANGUI III</w:t>
            </w:r>
          </w:p>
        </w:tc>
        <w:tc>
          <w:tcPr>
            <w:tcW w:w="1417" w:type="dxa"/>
            <w:tcBorders>
              <w:top w:val="single" w:sz="4" w:space="0" w:color="auto"/>
              <w:left w:val="nil"/>
              <w:bottom w:val="single" w:sz="4" w:space="0" w:color="auto"/>
              <w:right w:val="single" w:sz="4" w:space="0" w:color="auto"/>
            </w:tcBorders>
            <w:shd w:val="clear" w:color="auto" w:fill="auto"/>
            <w:hideMark/>
          </w:tcPr>
          <w:p w14:paraId="356A2170" w14:textId="77777777" w:rsidR="00E02032" w:rsidRPr="004C209D" w:rsidRDefault="00E02032" w:rsidP="00233C12">
            <w:pPr>
              <w:rPr>
                <w:color w:val="000000" w:themeColor="text1"/>
                <w:sz w:val="16"/>
                <w:szCs w:val="16"/>
              </w:rPr>
            </w:pPr>
            <w:r w:rsidRPr="004C209D">
              <w:rPr>
                <w:color w:val="000000" w:themeColor="text1"/>
                <w:sz w:val="16"/>
                <w:szCs w:val="16"/>
              </w:rPr>
              <w:t>TEARFUND</w:t>
            </w:r>
          </w:p>
        </w:tc>
        <w:tc>
          <w:tcPr>
            <w:tcW w:w="850" w:type="dxa"/>
            <w:tcBorders>
              <w:top w:val="single" w:sz="4" w:space="0" w:color="auto"/>
              <w:left w:val="nil"/>
              <w:bottom w:val="single" w:sz="4" w:space="0" w:color="auto"/>
              <w:right w:val="single" w:sz="4" w:space="0" w:color="auto"/>
            </w:tcBorders>
            <w:shd w:val="clear" w:color="auto" w:fill="auto"/>
            <w:hideMark/>
          </w:tcPr>
          <w:p w14:paraId="43919530"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14:paraId="43152190"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708" w:type="dxa"/>
            <w:tcBorders>
              <w:top w:val="single" w:sz="4" w:space="0" w:color="auto"/>
              <w:left w:val="nil"/>
              <w:bottom w:val="single" w:sz="4" w:space="0" w:color="auto"/>
              <w:right w:val="single" w:sz="4" w:space="0" w:color="auto"/>
            </w:tcBorders>
            <w:shd w:val="clear" w:color="auto" w:fill="auto"/>
            <w:hideMark/>
          </w:tcPr>
          <w:p w14:paraId="1CB563F6"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14:paraId="75C89541" w14:textId="77777777" w:rsidR="00E02032" w:rsidRPr="004C209D" w:rsidRDefault="00E02032" w:rsidP="00233C12">
            <w:pPr>
              <w:rPr>
                <w:color w:val="000000" w:themeColor="text1"/>
                <w:sz w:val="16"/>
                <w:szCs w:val="16"/>
              </w:rPr>
            </w:pPr>
            <w:r w:rsidRPr="004C209D">
              <w:rPr>
                <w:color w:val="000000" w:themeColor="text1"/>
                <w:sz w:val="16"/>
                <w:szCs w:val="16"/>
              </w:rPr>
              <w:t>TEARFUND</w:t>
            </w:r>
          </w:p>
        </w:tc>
      </w:tr>
      <w:tr w:rsidR="00E02032" w:rsidRPr="004C209D" w14:paraId="7CA73D34" w14:textId="77777777" w:rsidTr="00233C12">
        <w:trPr>
          <w:trHeight w:val="2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09F5B7FA" w14:textId="77777777" w:rsidR="00E02032" w:rsidRPr="004C209D" w:rsidRDefault="00E02032" w:rsidP="00233C12">
            <w:pPr>
              <w:rPr>
                <w:b/>
                <w:bCs/>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hideMark/>
          </w:tcPr>
          <w:p w14:paraId="329F96FC" w14:textId="77777777" w:rsidR="00E02032" w:rsidRPr="004C209D" w:rsidRDefault="00E02032" w:rsidP="00233C12">
            <w:pPr>
              <w:rPr>
                <w:color w:val="000000" w:themeColor="text1"/>
                <w:sz w:val="16"/>
                <w:szCs w:val="16"/>
              </w:rPr>
            </w:pPr>
            <w:r w:rsidRPr="004C209D">
              <w:rPr>
                <w:color w:val="000000" w:themeColor="text1"/>
                <w:sz w:val="16"/>
                <w:szCs w:val="16"/>
              </w:rPr>
              <w:t>8em Arr </w:t>
            </w:r>
          </w:p>
        </w:tc>
        <w:tc>
          <w:tcPr>
            <w:tcW w:w="1418" w:type="dxa"/>
            <w:tcBorders>
              <w:top w:val="single" w:sz="4" w:space="0" w:color="auto"/>
              <w:left w:val="nil"/>
              <w:bottom w:val="single" w:sz="4" w:space="0" w:color="auto"/>
              <w:right w:val="single" w:sz="4" w:space="0" w:color="auto"/>
            </w:tcBorders>
            <w:shd w:val="clear" w:color="auto" w:fill="auto"/>
            <w:hideMark/>
          </w:tcPr>
          <w:p w14:paraId="2F701EFC" w14:textId="77777777" w:rsidR="00E02032" w:rsidRPr="004C209D" w:rsidRDefault="00E02032" w:rsidP="00233C12">
            <w:pPr>
              <w:rPr>
                <w:color w:val="000000" w:themeColor="text1"/>
                <w:sz w:val="16"/>
                <w:szCs w:val="16"/>
              </w:rPr>
            </w:pPr>
            <w:r w:rsidRPr="004C209D">
              <w:rPr>
                <w:color w:val="000000" w:themeColor="text1"/>
                <w:sz w:val="16"/>
                <w:szCs w:val="16"/>
              </w:rPr>
              <w:t>BANGUI </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B61706D" w14:textId="77777777" w:rsidR="00E02032" w:rsidRPr="004C209D" w:rsidRDefault="00E02032" w:rsidP="00233C12">
            <w:pPr>
              <w:rPr>
                <w:color w:val="000000" w:themeColor="text1"/>
                <w:sz w:val="16"/>
                <w:szCs w:val="16"/>
              </w:rPr>
            </w:pPr>
          </w:p>
        </w:tc>
        <w:tc>
          <w:tcPr>
            <w:tcW w:w="1417" w:type="dxa"/>
            <w:tcBorders>
              <w:top w:val="single" w:sz="4" w:space="0" w:color="auto"/>
              <w:left w:val="nil"/>
              <w:bottom w:val="single" w:sz="4" w:space="0" w:color="auto"/>
              <w:right w:val="single" w:sz="4" w:space="0" w:color="auto"/>
            </w:tcBorders>
            <w:shd w:val="clear" w:color="auto" w:fill="auto"/>
            <w:hideMark/>
          </w:tcPr>
          <w:p w14:paraId="6422FF5B" w14:textId="77777777" w:rsidR="00E02032" w:rsidRPr="004C209D" w:rsidRDefault="00E02032" w:rsidP="00233C12">
            <w:pPr>
              <w:rPr>
                <w:color w:val="000000" w:themeColor="text1"/>
                <w:sz w:val="16"/>
                <w:szCs w:val="16"/>
              </w:rPr>
            </w:pPr>
            <w:r w:rsidRPr="004C209D">
              <w:rPr>
                <w:color w:val="000000" w:themeColor="text1"/>
                <w:sz w:val="16"/>
                <w:szCs w:val="16"/>
              </w:rPr>
              <w:t>TEARFUND, CDB</w:t>
            </w:r>
          </w:p>
        </w:tc>
        <w:tc>
          <w:tcPr>
            <w:tcW w:w="850" w:type="dxa"/>
            <w:tcBorders>
              <w:top w:val="single" w:sz="4" w:space="0" w:color="auto"/>
              <w:left w:val="nil"/>
              <w:bottom w:val="single" w:sz="4" w:space="0" w:color="auto"/>
              <w:right w:val="single" w:sz="4" w:space="0" w:color="auto"/>
            </w:tcBorders>
            <w:shd w:val="clear" w:color="auto" w:fill="auto"/>
            <w:hideMark/>
          </w:tcPr>
          <w:p w14:paraId="2DAB2658"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14:paraId="19EAC11B" w14:textId="77777777" w:rsidR="00E02032" w:rsidRPr="004C209D" w:rsidRDefault="00E02032" w:rsidP="00233C12">
            <w:pPr>
              <w:rPr>
                <w:color w:val="000000" w:themeColor="text1"/>
                <w:sz w:val="16"/>
                <w:szCs w:val="16"/>
              </w:rPr>
            </w:pPr>
            <w:r w:rsidRPr="004C209D">
              <w:rPr>
                <w:color w:val="000000" w:themeColor="text1"/>
                <w:sz w:val="16"/>
                <w:szCs w:val="16"/>
              </w:rPr>
              <w:t>CDB</w:t>
            </w:r>
          </w:p>
        </w:tc>
        <w:tc>
          <w:tcPr>
            <w:tcW w:w="708" w:type="dxa"/>
            <w:tcBorders>
              <w:top w:val="single" w:sz="4" w:space="0" w:color="auto"/>
              <w:left w:val="nil"/>
              <w:bottom w:val="single" w:sz="4" w:space="0" w:color="auto"/>
              <w:right w:val="single" w:sz="4" w:space="0" w:color="auto"/>
            </w:tcBorders>
            <w:shd w:val="clear" w:color="auto" w:fill="auto"/>
            <w:hideMark/>
          </w:tcPr>
          <w:p w14:paraId="5DFEF90E" w14:textId="77777777" w:rsidR="00E02032" w:rsidRPr="004C209D" w:rsidRDefault="00E02032" w:rsidP="00233C12">
            <w:pPr>
              <w:rPr>
                <w:color w:val="000000" w:themeColor="text1"/>
                <w:sz w:val="16"/>
                <w:szCs w:val="16"/>
              </w:rPr>
            </w:pPr>
            <w:r w:rsidRPr="004C209D">
              <w:rPr>
                <w:color w:val="000000" w:themeColor="text1"/>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14:paraId="19A57C88" w14:textId="77777777" w:rsidR="00E02032" w:rsidRPr="004C209D" w:rsidRDefault="00E02032" w:rsidP="00233C12">
            <w:pPr>
              <w:rPr>
                <w:color w:val="000000" w:themeColor="text1"/>
                <w:sz w:val="16"/>
                <w:szCs w:val="16"/>
              </w:rPr>
            </w:pPr>
            <w:r w:rsidRPr="004C209D">
              <w:rPr>
                <w:color w:val="000000" w:themeColor="text1"/>
                <w:sz w:val="16"/>
                <w:szCs w:val="16"/>
              </w:rPr>
              <w:t>TEARFUND, CDB</w:t>
            </w:r>
          </w:p>
        </w:tc>
      </w:tr>
    </w:tbl>
    <w:p w14:paraId="36E3DEE4" w14:textId="77777777" w:rsidR="00E02032" w:rsidRDefault="00E02032" w:rsidP="00E02032">
      <w:pPr>
        <w:pStyle w:val="Heading3"/>
        <w:rPr>
          <w:rStyle w:val="Heading3Char"/>
        </w:rPr>
      </w:pPr>
    </w:p>
    <w:p w14:paraId="5EEA92FD" w14:textId="77777777" w:rsidR="00E02032" w:rsidRPr="00FE031C" w:rsidRDefault="00E02032" w:rsidP="00FE031C">
      <w:pPr>
        <w:pStyle w:val="Heading3"/>
        <w:jc w:val="both"/>
      </w:pPr>
      <w:bookmarkStart w:id="44" w:name="_Toc68269632"/>
      <w:r w:rsidRPr="00FE031C">
        <w:t>Annexe 5 : Circuit de référence dans les zones ciblées (fichiers FNUAP disponibles par régions)</w:t>
      </w:r>
      <w:bookmarkEnd w:id="44"/>
      <w:r w:rsidRPr="00FE031C">
        <w:t xml:space="preserve"> </w:t>
      </w:r>
    </w:p>
    <w:p w14:paraId="6815DCA8" w14:textId="77777777" w:rsidR="00E02032" w:rsidRPr="00AB1CF4" w:rsidRDefault="00E02032" w:rsidP="00E02032">
      <w:pPr>
        <w:rPr>
          <w:rFonts w:eastAsiaTheme="majorEastAsia" w:cstheme="minorHAnsi"/>
          <w:color w:val="2F5496" w:themeColor="accent1" w:themeShade="BF"/>
          <w:sz w:val="32"/>
          <w:szCs w:val="32"/>
        </w:rPr>
      </w:pPr>
      <w:r w:rsidRPr="00AB1CF4">
        <w:rPr>
          <w:rFonts w:cstheme="minorHAnsi"/>
        </w:rPr>
        <w:br w:type="page"/>
      </w:r>
    </w:p>
    <w:p w14:paraId="29BF16B0" w14:textId="77777777" w:rsidR="00E02032" w:rsidRPr="00AB1CF4" w:rsidRDefault="00E02032" w:rsidP="00E02032">
      <w:pPr>
        <w:pStyle w:val="Heading1"/>
        <w:rPr>
          <w:rFonts w:asciiTheme="minorHAnsi" w:hAnsiTheme="minorHAnsi" w:cstheme="minorHAnsi"/>
        </w:rPr>
      </w:pPr>
      <w:bookmarkStart w:id="45" w:name="_Toc68269633"/>
      <w:r w:rsidRPr="00AB1CF4">
        <w:rPr>
          <w:rFonts w:asciiTheme="minorHAnsi" w:hAnsiTheme="minorHAnsi" w:cstheme="minorHAnsi"/>
        </w:rPr>
        <w:lastRenderedPageBreak/>
        <w:t>Bibliographie</w:t>
      </w:r>
      <w:bookmarkEnd w:id="45"/>
    </w:p>
    <w:p w14:paraId="22D628DE" w14:textId="77777777" w:rsidR="00E02032" w:rsidRDefault="00E02032" w:rsidP="00E02032">
      <w:pPr>
        <w:pStyle w:val="FootnoteText"/>
        <w:jc w:val="both"/>
        <w:rPr>
          <w:rFonts w:cstheme="minorHAnsi"/>
          <w:b/>
        </w:rPr>
      </w:pPr>
    </w:p>
    <w:p w14:paraId="0CEA98B4" w14:textId="77777777" w:rsidR="00E02032" w:rsidRPr="00AB1CF4" w:rsidRDefault="00E02032" w:rsidP="00E02032">
      <w:pPr>
        <w:pStyle w:val="FootnoteText"/>
        <w:jc w:val="both"/>
        <w:rPr>
          <w:rFonts w:cstheme="minorHAnsi"/>
          <w:i/>
          <w:lang w:val="en-US"/>
        </w:rPr>
      </w:pPr>
      <w:r w:rsidRPr="00AB1CF4">
        <w:rPr>
          <w:rFonts w:cstheme="minorHAnsi"/>
          <w:b/>
        </w:rPr>
        <w:t>Arango, D., M. Morton, Gennari, F., Kiplesund, S. et ELLSBERG, M. (2014).</w:t>
      </w:r>
      <w:r w:rsidRPr="00AB1CF4">
        <w:rPr>
          <w:rFonts w:cstheme="minorHAnsi"/>
        </w:rPr>
        <w:t xml:space="preserve"> </w:t>
      </w:r>
      <w:r w:rsidRPr="00AB1CF4">
        <w:rPr>
          <w:rFonts w:cstheme="minorHAnsi"/>
          <w:i/>
          <w:lang w:val="en-US"/>
        </w:rPr>
        <w:t>Interventions to Prevent or Reduce Violence Against Women And Girls : A systematic Review of Reviews. Women’s Voice, Agency, and Participation Research Series. Washington, DC. World Bank.</w:t>
      </w:r>
    </w:p>
    <w:p w14:paraId="1EF0F2E1" w14:textId="77777777" w:rsidR="00E02032" w:rsidRPr="00AB1CF4" w:rsidRDefault="00E02032" w:rsidP="00E02032">
      <w:pPr>
        <w:pStyle w:val="FootnoteText"/>
        <w:jc w:val="both"/>
        <w:rPr>
          <w:rFonts w:cstheme="minorHAnsi"/>
          <w:i/>
          <w:lang w:val="en-US"/>
        </w:rPr>
      </w:pPr>
    </w:p>
    <w:p w14:paraId="1CA27224" w14:textId="77777777" w:rsidR="00E02032" w:rsidRDefault="00E02032" w:rsidP="00E02032">
      <w:pPr>
        <w:pStyle w:val="FootnoteText"/>
        <w:jc w:val="both"/>
        <w:rPr>
          <w:rFonts w:cstheme="minorHAnsi"/>
          <w:i/>
        </w:rPr>
      </w:pPr>
      <w:r w:rsidRPr="00AB1CF4">
        <w:rPr>
          <w:rFonts w:cstheme="minorHAnsi"/>
          <w:b/>
        </w:rPr>
        <w:t xml:space="preserve">Banque mondiale, septembre 2018. </w:t>
      </w:r>
      <w:r w:rsidRPr="00AB1CF4">
        <w:rPr>
          <w:rFonts w:cstheme="minorHAnsi"/>
          <w:i/>
        </w:rPr>
        <w:t>Note de bonnes pratiques : Lutter contre les violences sexistes dans le cadre du financement de projets d’investissement comportant de grands travaux de génie civil</w:t>
      </w:r>
    </w:p>
    <w:p w14:paraId="1F017EBC" w14:textId="77777777" w:rsidR="00E02032" w:rsidRDefault="00E02032" w:rsidP="00E02032">
      <w:pPr>
        <w:pStyle w:val="FootnoteText"/>
        <w:jc w:val="both"/>
        <w:rPr>
          <w:rFonts w:cstheme="minorHAnsi"/>
          <w:i/>
        </w:rPr>
      </w:pPr>
    </w:p>
    <w:p w14:paraId="1767B9DB" w14:textId="77777777" w:rsidR="00E02032" w:rsidRPr="00AB1CF4" w:rsidRDefault="00E02032" w:rsidP="00E02032">
      <w:pPr>
        <w:pStyle w:val="FootnoteText"/>
        <w:jc w:val="both"/>
        <w:rPr>
          <w:rFonts w:cstheme="minorHAnsi"/>
          <w:i/>
        </w:rPr>
      </w:pPr>
      <w:r w:rsidRPr="00E575A0">
        <w:rPr>
          <w:rFonts w:cstheme="minorHAnsi"/>
          <w:b/>
          <w:bCs/>
        </w:rPr>
        <w:t>Banque Mondiale,</w:t>
      </w:r>
      <w:r>
        <w:rPr>
          <w:rFonts w:cstheme="minorHAnsi"/>
        </w:rPr>
        <w:t xml:space="preserve"> </w:t>
      </w:r>
      <w:r w:rsidRPr="00AB1CF4">
        <w:rPr>
          <w:rFonts w:cstheme="minorHAnsi"/>
          <w:b/>
        </w:rPr>
        <w:t>Monika Bakayoko-Topolska, 2018</w:t>
      </w:r>
      <w:r w:rsidRPr="00AB1CF4">
        <w:rPr>
          <w:rFonts w:cstheme="minorHAnsi"/>
        </w:rPr>
        <w:t>.</w:t>
      </w:r>
      <w:r>
        <w:rPr>
          <w:rFonts w:cstheme="minorHAnsi"/>
        </w:rPr>
        <w:t xml:space="preserve"> </w:t>
      </w:r>
      <w:r w:rsidRPr="00AB1CF4">
        <w:rPr>
          <w:rFonts w:cstheme="minorHAnsi"/>
          <w:i/>
        </w:rPr>
        <w:t>Analyse des VBG réalisée en 2018 pour le projet PURACEL en RCA</w:t>
      </w:r>
    </w:p>
    <w:p w14:paraId="0151CBF2" w14:textId="77777777" w:rsidR="00E02032" w:rsidRPr="00AB1CF4" w:rsidRDefault="00E02032" w:rsidP="00E02032">
      <w:pPr>
        <w:pStyle w:val="FootnoteText"/>
        <w:jc w:val="both"/>
        <w:rPr>
          <w:rFonts w:cstheme="minorHAnsi"/>
          <w:i/>
        </w:rPr>
      </w:pPr>
    </w:p>
    <w:p w14:paraId="3A09BE08" w14:textId="77777777" w:rsidR="00E02032" w:rsidRPr="00AB1CF4" w:rsidRDefault="00E02032" w:rsidP="00E02032">
      <w:pPr>
        <w:pStyle w:val="FootnoteText"/>
        <w:jc w:val="both"/>
        <w:rPr>
          <w:rFonts w:cstheme="minorHAnsi"/>
        </w:rPr>
      </w:pPr>
      <w:r w:rsidRPr="00AB1CF4">
        <w:rPr>
          <w:rFonts w:cstheme="minorHAnsi"/>
          <w:b/>
        </w:rPr>
        <w:t xml:space="preserve">GBVIMS, 2020. </w:t>
      </w:r>
      <w:r w:rsidRPr="00AB1CF4">
        <w:rPr>
          <w:rFonts w:cstheme="minorHAnsi"/>
          <w:i/>
        </w:rPr>
        <w:t>Outils de classification. Les six principaux types de VBG ont été créés pour permettre la collecte de données et l’analyse de statistiques sur la VBG</w:t>
      </w:r>
    </w:p>
    <w:p w14:paraId="22CC1ED0" w14:textId="77777777" w:rsidR="00E02032" w:rsidRPr="00AB1CF4" w:rsidRDefault="00E02032" w:rsidP="00E02032">
      <w:pPr>
        <w:pStyle w:val="FootnoteText"/>
        <w:jc w:val="both"/>
        <w:rPr>
          <w:rFonts w:cstheme="minorHAnsi"/>
          <w:lang w:val="fr-CD"/>
        </w:rPr>
      </w:pPr>
    </w:p>
    <w:p w14:paraId="0BC6D1B4" w14:textId="77777777" w:rsidR="00E02032" w:rsidRDefault="00E02032" w:rsidP="00E02032">
      <w:pPr>
        <w:pStyle w:val="FootnoteText"/>
        <w:jc w:val="both"/>
        <w:rPr>
          <w:rFonts w:cstheme="minorHAnsi"/>
          <w:i/>
        </w:rPr>
      </w:pPr>
      <w:r w:rsidRPr="00AB1CF4">
        <w:rPr>
          <w:rFonts w:cstheme="minorHAnsi"/>
          <w:b/>
        </w:rPr>
        <w:t xml:space="preserve">GBVIMS, 2019. </w:t>
      </w:r>
      <w:r w:rsidRPr="00AB1CF4">
        <w:rPr>
          <w:rFonts w:cstheme="minorHAnsi"/>
        </w:rPr>
        <w:t xml:space="preserve"> </w:t>
      </w:r>
      <w:r w:rsidRPr="00AB1CF4">
        <w:rPr>
          <w:rFonts w:cstheme="minorHAnsi"/>
          <w:i/>
        </w:rPr>
        <w:t>Rapport Annuel sur les statistiques de VBG (janvier-décembre 2019), Draft, RCA</w:t>
      </w:r>
    </w:p>
    <w:p w14:paraId="6567AC72" w14:textId="77777777" w:rsidR="00E02032" w:rsidRDefault="00E02032" w:rsidP="00E02032">
      <w:pPr>
        <w:pStyle w:val="FootnoteText"/>
        <w:jc w:val="both"/>
        <w:rPr>
          <w:rFonts w:cstheme="minorHAnsi"/>
          <w:i/>
        </w:rPr>
      </w:pPr>
    </w:p>
    <w:p w14:paraId="554F8B3F" w14:textId="77777777" w:rsidR="00E02032" w:rsidRDefault="00E02032" w:rsidP="00E02032">
      <w:pPr>
        <w:pStyle w:val="FootnoteText"/>
        <w:jc w:val="both"/>
        <w:rPr>
          <w:rFonts w:cstheme="minorHAnsi"/>
          <w:i/>
        </w:rPr>
      </w:pPr>
      <w:r w:rsidRPr="00AB1CF4">
        <w:rPr>
          <w:rFonts w:cstheme="minorHAnsi"/>
          <w:b/>
        </w:rPr>
        <w:t>GBVIMS, 20</w:t>
      </w:r>
      <w:r>
        <w:rPr>
          <w:rFonts w:cstheme="minorHAnsi"/>
          <w:b/>
        </w:rPr>
        <w:t>20</w:t>
      </w:r>
      <w:r w:rsidRPr="00AB1CF4">
        <w:rPr>
          <w:rFonts w:cstheme="minorHAnsi"/>
          <w:b/>
        </w:rPr>
        <w:t xml:space="preserve">. </w:t>
      </w:r>
      <w:r w:rsidRPr="00AB1CF4">
        <w:rPr>
          <w:rFonts w:cstheme="minorHAnsi"/>
        </w:rPr>
        <w:t xml:space="preserve"> </w:t>
      </w:r>
      <w:r w:rsidRPr="00AB1CF4">
        <w:rPr>
          <w:rFonts w:cstheme="minorHAnsi"/>
          <w:i/>
        </w:rPr>
        <w:t xml:space="preserve">Rapport </w:t>
      </w:r>
      <w:r>
        <w:rPr>
          <w:rFonts w:cstheme="minorHAnsi"/>
          <w:i/>
        </w:rPr>
        <w:t>Trimestriel</w:t>
      </w:r>
      <w:r w:rsidRPr="00AB1CF4">
        <w:rPr>
          <w:rFonts w:cstheme="minorHAnsi"/>
          <w:i/>
        </w:rPr>
        <w:t xml:space="preserve"> sur les statistiques de VBG (</w:t>
      </w:r>
      <w:r>
        <w:rPr>
          <w:rFonts w:cstheme="minorHAnsi"/>
          <w:i/>
        </w:rPr>
        <w:t>avril--juin</w:t>
      </w:r>
      <w:r w:rsidRPr="00AB1CF4">
        <w:rPr>
          <w:rFonts w:cstheme="minorHAnsi"/>
          <w:i/>
        </w:rPr>
        <w:t xml:space="preserve"> 20</w:t>
      </w:r>
      <w:r>
        <w:rPr>
          <w:rFonts w:cstheme="minorHAnsi"/>
          <w:i/>
        </w:rPr>
        <w:t>20</w:t>
      </w:r>
      <w:r w:rsidRPr="00AB1CF4">
        <w:rPr>
          <w:rFonts w:cstheme="minorHAnsi"/>
          <w:i/>
        </w:rPr>
        <w:t>), RCA</w:t>
      </w:r>
    </w:p>
    <w:p w14:paraId="679DD710" w14:textId="77777777" w:rsidR="00E02032" w:rsidRDefault="00E02032" w:rsidP="00E02032">
      <w:pPr>
        <w:pStyle w:val="FootnoteText"/>
        <w:jc w:val="both"/>
        <w:rPr>
          <w:rFonts w:cstheme="minorHAnsi"/>
          <w:i/>
        </w:rPr>
      </w:pPr>
    </w:p>
    <w:p w14:paraId="2D505F39" w14:textId="77777777" w:rsidR="00E02032" w:rsidRPr="00784B5B" w:rsidRDefault="00E02032" w:rsidP="00E02032">
      <w:pPr>
        <w:pStyle w:val="FootnoteText"/>
        <w:jc w:val="both"/>
        <w:rPr>
          <w:lang w:val="en-US"/>
        </w:rPr>
      </w:pPr>
      <w:r>
        <w:rPr>
          <w:lang w:val="en-US"/>
        </w:rPr>
        <w:t xml:space="preserve">IRC/IMC, A toolkit for advancing women’s and girls’ empowerment in humanitarian settings. </w:t>
      </w:r>
    </w:p>
    <w:p w14:paraId="7F61E273" w14:textId="77777777" w:rsidR="00E02032" w:rsidRPr="00421156" w:rsidRDefault="00E02032" w:rsidP="00E02032">
      <w:pPr>
        <w:pStyle w:val="FootnoteText"/>
        <w:jc w:val="both"/>
        <w:rPr>
          <w:rFonts w:cstheme="minorHAnsi"/>
          <w:i/>
          <w:lang w:val="en-US"/>
        </w:rPr>
      </w:pPr>
    </w:p>
    <w:p w14:paraId="69394053" w14:textId="77777777" w:rsidR="00E02032" w:rsidRDefault="00E02032" w:rsidP="00E02032">
      <w:pPr>
        <w:pStyle w:val="FootnoteText"/>
        <w:jc w:val="both"/>
        <w:rPr>
          <w:rFonts w:cstheme="minorHAnsi"/>
          <w:i/>
        </w:rPr>
      </w:pPr>
      <w:r>
        <w:rPr>
          <w:rFonts w:cstheme="minorHAnsi"/>
          <w:b/>
        </w:rPr>
        <w:t>République centrafricaine</w:t>
      </w:r>
      <w:r w:rsidRPr="00AB1CF4">
        <w:rPr>
          <w:rFonts w:cstheme="minorHAnsi"/>
          <w:b/>
        </w:rPr>
        <w:t xml:space="preserve"> 2018. </w:t>
      </w:r>
      <w:r w:rsidRPr="00AB1CF4">
        <w:rPr>
          <w:rFonts w:cstheme="minorHAnsi"/>
          <w:i/>
        </w:rPr>
        <w:t>Stratégie Nationale De Lutte Contre Les Violences Basées Sur Le Genre En République Centrafricaine 2018-2022</w:t>
      </w:r>
    </w:p>
    <w:p w14:paraId="54659561" w14:textId="77777777" w:rsidR="00E02032" w:rsidRDefault="00E02032" w:rsidP="00E02032">
      <w:pPr>
        <w:pStyle w:val="FootnoteText"/>
        <w:jc w:val="both"/>
        <w:rPr>
          <w:rFonts w:cstheme="minorHAnsi"/>
          <w:i/>
        </w:rPr>
      </w:pPr>
    </w:p>
    <w:p w14:paraId="58209349" w14:textId="77777777" w:rsidR="00E02032" w:rsidRDefault="00E02032" w:rsidP="00E02032">
      <w:pPr>
        <w:pStyle w:val="FootnoteText"/>
        <w:jc w:val="both"/>
        <w:rPr>
          <w:lang w:val="en-US"/>
        </w:rPr>
      </w:pPr>
      <w:r w:rsidRPr="00421156">
        <w:rPr>
          <w:b/>
          <w:bCs/>
          <w:lang w:val="en-US"/>
        </w:rPr>
        <w:t>UNFPA</w:t>
      </w:r>
      <w:r>
        <w:rPr>
          <w:lang w:val="en-US"/>
        </w:rPr>
        <w:t xml:space="preserve">, Women and Girls Safe Spaces, A guidance Note based on lessons learned from the Syrian crisis. </w:t>
      </w:r>
    </w:p>
    <w:p w14:paraId="74BF4AAE" w14:textId="77777777" w:rsidR="00E02032" w:rsidRDefault="00E02032" w:rsidP="00E02032">
      <w:pPr>
        <w:pStyle w:val="FootnoteText"/>
        <w:jc w:val="both"/>
        <w:rPr>
          <w:lang w:val="en-US"/>
        </w:rPr>
      </w:pPr>
    </w:p>
    <w:p w14:paraId="69A0FC61" w14:textId="0068D1C2" w:rsidR="00FB5BBB" w:rsidRDefault="00E02032" w:rsidP="00E02032">
      <w:pPr>
        <w:pStyle w:val="FootnoteText"/>
        <w:jc w:val="both"/>
        <w:rPr>
          <w:lang w:val="en-US"/>
        </w:rPr>
      </w:pPr>
      <w:r w:rsidRPr="00421156">
        <w:rPr>
          <w:b/>
          <w:bCs/>
          <w:lang w:val="en-US"/>
        </w:rPr>
        <w:t>UNICEF</w:t>
      </w:r>
      <w:r>
        <w:rPr>
          <w:lang w:val="en-US"/>
        </w:rPr>
        <w:t>, Innovative approaches to GBV services provision in emergencies.</w:t>
      </w:r>
    </w:p>
    <w:p w14:paraId="566F1049" w14:textId="77777777" w:rsidR="00C035F3" w:rsidRDefault="00FB5BBB">
      <w:pPr>
        <w:spacing w:after="0" w:line="240" w:lineRule="auto"/>
        <w:rPr>
          <w:lang w:val="en-US"/>
        </w:rPr>
        <w:sectPr w:rsidR="00C035F3">
          <w:pgSz w:w="11906" w:h="16838"/>
          <w:pgMar w:top="1440" w:right="1440" w:bottom="1440" w:left="1440" w:header="708" w:footer="708" w:gutter="0"/>
          <w:cols w:space="708"/>
          <w:docGrid w:linePitch="360"/>
        </w:sectPr>
      </w:pPr>
      <w:r>
        <w:rPr>
          <w:lang w:val="en-US"/>
        </w:rPr>
        <w:br w:type="page"/>
      </w:r>
    </w:p>
    <w:p w14:paraId="5AD24151" w14:textId="6D9402E8" w:rsidR="00FB5BBB" w:rsidRDefault="00FB5BBB">
      <w:pPr>
        <w:spacing w:after="0" w:line="240" w:lineRule="auto"/>
        <w:rPr>
          <w:lang w:val="en-US"/>
        </w:rPr>
      </w:pPr>
    </w:p>
    <w:p w14:paraId="62406169" w14:textId="5AE5DEF9" w:rsidR="002B5830" w:rsidRDefault="002B5830">
      <w:pPr>
        <w:spacing w:after="0" w:line="240" w:lineRule="auto"/>
        <w:rPr>
          <w:lang w:val="en-US"/>
        </w:rPr>
      </w:pPr>
    </w:p>
    <w:p w14:paraId="3FA7CA87" w14:textId="23116F3E" w:rsidR="002B5830" w:rsidRDefault="002B5830">
      <w:pPr>
        <w:spacing w:after="0" w:line="240" w:lineRule="auto"/>
        <w:rPr>
          <w:lang w:val="en-US"/>
        </w:rPr>
      </w:pPr>
    </w:p>
    <w:p w14:paraId="6EE55AF6" w14:textId="6FDF8D78" w:rsidR="002B5830" w:rsidRDefault="002B5830">
      <w:pPr>
        <w:spacing w:after="0" w:line="240" w:lineRule="auto"/>
        <w:rPr>
          <w:lang w:val="en-US"/>
        </w:rPr>
      </w:pPr>
    </w:p>
    <w:p w14:paraId="6E432968" w14:textId="21985B84" w:rsidR="002B5830" w:rsidRDefault="002B5830">
      <w:pPr>
        <w:spacing w:after="0" w:line="240" w:lineRule="auto"/>
        <w:rPr>
          <w:lang w:val="en-US"/>
        </w:rPr>
      </w:pPr>
    </w:p>
    <w:p w14:paraId="6CFB9D9C" w14:textId="0BDA4E87" w:rsidR="002B5830" w:rsidRDefault="002B5830">
      <w:pPr>
        <w:spacing w:after="0" w:line="240" w:lineRule="auto"/>
        <w:rPr>
          <w:lang w:val="en-US"/>
        </w:rPr>
      </w:pPr>
    </w:p>
    <w:p w14:paraId="51035766" w14:textId="083CD367" w:rsidR="002B5830" w:rsidRDefault="002B5830">
      <w:pPr>
        <w:spacing w:after="0" w:line="240" w:lineRule="auto"/>
        <w:rPr>
          <w:lang w:val="en-US"/>
        </w:rPr>
      </w:pPr>
    </w:p>
    <w:p w14:paraId="0EE49967" w14:textId="2A238460" w:rsidR="002B5830" w:rsidRDefault="002B5830">
      <w:pPr>
        <w:spacing w:after="0" w:line="240" w:lineRule="auto"/>
        <w:rPr>
          <w:lang w:val="en-US"/>
        </w:rPr>
      </w:pPr>
    </w:p>
    <w:p w14:paraId="2F9A2780" w14:textId="77777777" w:rsidR="002B5830" w:rsidRDefault="002B5830">
      <w:pPr>
        <w:spacing w:after="0" w:line="240" w:lineRule="auto"/>
        <w:rPr>
          <w:lang w:val="en-US"/>
        </w:rPr>
      </w:pPr>
    </w:p>
    <w:p w14:paraId="4034EEBC" w14:textId="49B765F5" w:rsidR="002B5830" w:rsidRDefault="002B5830">
      <w:pPr>
        <w:spacing w:after="0" w:line="240" w:lineRule="auto"/>
        <w:rPr>
          <w:lang w:val="en-US"/>
        </w:rPr>
      </w:pPr>
    </w:p>
    <w:p w14:paraId="1BCF42AB" w14:textId="793D6BB7" w:rsidR="002B5830" w:rsidRDefault="002B5830">
      <w:pPr>
        <w:spacing w:after="0" w:line="240" w:lineRule="auto"/>
        <w:rPr>
          <w:lang w:val="en-US"/>
        </w:rPr>
      </w:pPr>
    </w:p>
    <w:p w14:paraId="445A4444" w14:textId="77777777" w:rsidR="002B5830" w:rsidRDefault="002B5830">
      <w:pPr>
        <w:spacing w:after="0" w:line="240" w:lineRule="auto"/>
        <w:rPr>
          <w:lang w:val="en-US"/>
        </w:rPr>
      </w:pPr>
    </w:p>
    <w:p w14:paraId="32E75C10" w14:textId="77777777" w:rsidR="00C035F3" w:rsidRDefault="00C035F3" w:rsidP="00C035F3">
      <w:pPr>
        <w:rPr>
          <w:lang w:val="en-US"/>
        </w:rPr>
      </w:pPr>
    </w:p>
    <w:p w14:paraId="225283F6" w14:textId="77777777" w:rsidR="002B5830" w:rsidRPr="002B5830" w:rsidRDefault="00C035F3" w:rsidP="002B5830">
      <w:pPr>
        <w:pStyle w:val="IntenseQuote"/>
        <w:rPr>
          <w:sz w:val="44"/>
          <w:szCs w:val="44"/>
        </w:rPr>
      </w:pPr>
      <w:r>
        <w:rPr>
          <w:lang w:val="en-US"/>
        </w:rPr>
        <w:tab/>
      </w:r>
      <w:r w:rsidR="002B5830" w:rsidRPr="002B5830">
        <w:rPr>
          <w:sz w:val="44"/>
          <w:szCs w:val="44"/>
        </w:rPr>
        <w:t>Plan d’Action pour l’atténuation des risques de VBG, EAS et HS</w:t>
      </w:r>
    </w:p>
    <w:p w14:paraId="1C6C450D" w14:textId="529D3315" w:rsidR="00C035F3" w:rsidRPr="002B5830" w:rsidRDefault="00C035F3" w:rsidP="00C035F3">
      <w:pPr>
        <w:tabs>
          <w:tab w:val="left" w:pos="5738"/>
        </w:tabs>
      </w:pPr>
    </w:p>
    <w:p w14:paraId="7749B764" w14:textId="77777777" w:rsidR="00C035F3" w:rsidRPr="002B5830" w:rsidRDefault="00C035F3" w:rsidP="00C035F3">
      <w:pPr>
        <w:tabs>
          <w:tab w:val="left" w:pos="5738"/>
        </w:tabs>
      </w:pPr>
      <w:r w:rsidRPr="002B5830">
        <w:tab/>
      </w:r>
    </w:p>
    <w:p w14:paraId="3A2268FB" w14:textId="77777777" w:rsidR="00C035F3" w:rsidRPr="002B5830" w:rsidRDefault="00C035F3" w:rsidP="00C035F3">
      <w:pPr>
        <w:tabs>
          <w:tab w:val="left" w:pos="5738"/>
        </w:tabs>
      </w:pPr>
    </w:p>
    <w:p w14:paraId="1D1DC343" w14:textId="77777777" w:rsidR="00C035F3" w:rsidRPr="002B5830" w:rsidRDefault="00C035F3" w:rsidP="00C035F3">
      <w:pPr>
        <w:tabs>
          <w:tab w:val="left" w:pos="5738"/>
        </w:tabs>
      </w:pPr>
    </w:p>
    <w:p w14:paraId="24A6C98A" w14:textId="77777777" w:rsidR="00C035F3" w:rsidRPr="002B5830" w:rsidRDefault="00C035F3" w:rsidP="00C035F3">
      <w:pPr>
        <w:tabs>
          <w:tab w:val="left" w:pos="5738"/>
        </w:tabs>
      </w:pPr>
    </w:p>
    <w:p w14:paraId="4E75B8A4" w14:textId="77777777" w:rsidR="00C035F3" w:rsidRPr="002B5830" w:rsidRDefault="00C035F3" w:rsidP="00C035F3">
      <w:pPr>
        <w:tabs>
          <w:tab w:val="left" w:pos="5738"/>
        </w:tabs>
      </w:pPr>
    </w:p>
    <w:p w14:paraId="51374AE5" w14:textId="77777777" w:rsidR="00C035F3" w:rsidRPr="002B5830" w:rsidRDefault="00C035F3" w:rsidP="00C035F3">
      <w:pPr>
        <w:tabs>
          <w:tab w:val="left" w:pos="5738"/>
        </w:tabs>
      </w:pPr>
    </w:p>
    <w:p w14:paraId="34473F92" w14:textId="0A064E26" w:rsidR="00C035F3" w:rsidRPr="002B5830" w:rsidRDefault="00C035F3" w:rsidP="00C035F3">
      <w:pPr>
        <w:tabs>
          <w:tab w:val="left" w:pos="5738"/>
        </w:tabs>
        <w:sectPr w:rsidR="00C035F3" w:rsidRPr="002B5830" w:rsidSect="00C035F3">
          <w:pgSz w:w="16838" w:h="11906" w:orient="landscape"/>
          <w:pgMar w:top="1440" w:right="1440" w:bottom="1440" w:left="1440" w:header="708" w:footer="708" w:gutter="0"/>
          <w:cols w:space="708"/>
          <w:docGrid w:linePitch="360"/>
        </w:sectPr>
      </w:pPr>
    </w:p>
    <w:tbl>
      <w:tblPr>
        <w:tblStyle w:val="TableGrid"/>
        <w:tblpPr w:leftFromText="180" w:rightFromText="180" w:vertAnchor="text" w:tblpX="233" w:tblpY="1"/>
        <w:tblOverlap w:val="never"/>
        <w:tblW w:w="14307" w:type="dxa"/>
        <w:tblLayout w:type="fixed"/>
        <w:tblLook w:val="04A0" w:firstRow="1" w:lastRow="0" w:firstColumn="1" w:lastColumn="0" w:noHBand="0" w:noVBand="1"/>
      </w:tblPr>
      <w:tblGrid>
        <w:gridCol w:w="4434"/>
        <w:gridCol w:w="2670"/>
        <w:gridCol w:w="1752"/>
        <w:gridCol w:w="1711"/>
        <w:gridCol w:w="2261"/>
        <w:gridCol w:w="1479"/>
      </w:tblGrid>
      <w:tr w:rsidR="007F1D7D" w:rsidRPr="00C94BAA" w14:paraId="0A2B2713" w14:textId="77777777" w:rsidTr="00304825">
        <w:trPr>
          <w:tblHeader/>
        </w:trPr>
        <w:tc>
          <w:tcPr>
            <w:tcW w:w="14307" w:type="dxa"/>
            <w:gridSpan w:val="6"/>
            <w:vAlign w:val="center"/>
          </w:tcPr>
          <w:p w14:paraId="513268BE" w14:textId="77777777" w:rsidR="007F1D7D" w:rsidRPr="00C94BAA" w:rsidRDefault="007F1D7D" w:rsidP="00304825">
            <w:pPr>
              <w:pStyle w:val="NormalWeb"/>
              <w:shd w:val="clear" w:color="auto" w:fill="FFFFFF"/>
              <w:jc w:val="both"/>
              <w:rPr>
                <w:b/>
                <w:bCs/>
                <w:sz w:val="22"/>
                <w:szCs w:val="22"/>
              </w:rPr>
            </w:pPr>
            <w:r w:rsidRPr="00C94BAA">
              <w:rPr>
                <w:sz w:val="22"/>
                <w:szCs w:val="22"/>
              </w:rPr>
              <w:lastRenderedPageBreak/>
              <w:t xml:space="preserve">Le niveau de risque VBG, EAS / HS du projet Capital Humain P171158 a été évalué comme </w:t>
            </w:r>
            <w:r w:rsidRPr="00C94BAA">
              <w:rPr>
                <w:b/>
                <w:bCs/>
                <w:sz w:val="22"/>
                <w:szCs w:val="22"/>
              </w:rPr>
              <w:t>élevé.</w:t>
            </w:r>
          </w:p>
          <w:p w14:paraId="15E92FD8" w14:textId="77777777" w:rsidR="007F1D7D" w:rsidRPr="00C94BAA" w:rsidRDefault="007F1D7D" w:rsidP="00304825">
            <w:pPr>
              <w:pStyle w:val="NormalWeb"/>
              <w:shd w:val="clear" w:color="auto" w:fill="FFFFFF"/>
              <w:jc w:val="both"/>
              <w:rPr>
                <w:sz w:val="22"/>
                <w:szCs w:val="22"/>
              </w:rPr>
            </w:pPr>
            <w:r w:rsidRPr="00C94BAA">
              <w:rPr>
                <w:sz w:val="22"/>
                <w:szCs w:val="22"/>
              </w:rPr>
              <w:t xml:space="preserve">Ce niveau est dû à plusieurs éléments. D’une part, les caractéristiques contextuelles de la République centrafricaine, où les </w:t>
            </w:r>
            <w:r w:rsidRPr="00C94BAA">
              <w:rPr>
                <w:b/>
                <w:bCs/>
                <w:sz w:val="22"/>
                <w:szCs w:val="22"/>
              </w:rPr>
              <w:t>prévalences des divers types de VBG envers les femmes et les filles sont très élevées</w:t>
            </w:r>
            <w:r w:rsidRPr="00C94BAA">
              <w:rPr>
                <w:sz w:val="22"/>
                <w:szCs w:val="22"/>
              </w:rPr>
              <w:t xml:space="preserve"> (violences physiques, violences sexuelles, exploitation et abus sexuels, harcèlement sexuels) dans un pays traversé depuis plusieurs décennies par crises politiques, humanitaires et conflits prolongés, où des centaines de milliers d’habitants sont en situation de déplacement, et vivent dans des situations d’extrême pauvreté. Les services sociaux ne sont pas encore entièrement instaurés dans tout le pays et la plupart des communautés n'ont pas accès aux services de base, y compris aux services de prévention et de réponse aux VBG pour la prise en charge holistique des besoins des survivantes, qui souffrent d’un manque de ressources humaines et financières et ont des capacités réduites. Un autre facteur contextuel est lié aux très hauts niveaux d’acceptabilité de la violence notamment de la violence conjugale, y compris par les femmes, ce qui augmente l'incidence d'EAS/HS. Enfin, les risques de VBG, y compris ces d’EAS/HS, sont fortement exacerbés par la crise sanitaire comme celle du covid-19.</w:t>
            </w:r>
          </w:p>
          <w:p w14:paraId="2DDD3DBF" w14:textId="77777777" w:rsidR="007F1D7D" w:rsidRPr="00C94BAA" w:rsidRDefault="007F1D7D" w:rsidP="00304825">
            <w:pPr>
              <w:pStyle w:val="NormalWeb"/>
              <w:shd w:val="clear" w:color="auto" w:fill="FFFFFF"/>
              <w:jc w:val="both"/>
              <w:rPr>
                <w:sz w:val="22"/>
                <w:szCs w:val="22"/>
              </w:rPr>
            </w:pPr>
            <w:r w:rsidRPr="00C94BAA">
              <w:rPr>
                <w:sz w:val="22"/>
                <w:szCs w:val="22"/>
              </w:rPr>
              <w:t xml:space="preserve">Ces facteurs s’ajoutent à d’autres risques d’exacerbation/génération de VBG, et risques d’EAS et HS liés aux activités du projet Capital humain, tels que :  </w:t>
            </w:r>
          </w:p>
          <w:p w14:paraId="1B969EC8" w14:textId="77777777" w:rsidR="007F1D7D" w:rsidRPr="00C94BAA" w:rsidRDefault="007F1D7D" w:rsidP="007F1D7D">
            <w:pPr>
              <w:pStyle w:val="NormalWeb"/>
              <w:numPr>
                <w:ilvl w:val="0"/>
                <w:numId w:val="38"/>
              </w:numPr>
              <w:shd w:val="clear" w:color="auto" w:fill="FFFFFF"/>
              <w:jc w:val="both"/>
              <w:rPr>
                <w:sz w:val="22"/>
                <w:szCs w:val="22"/>
              </w:rPr>
            </w:pPr>
            <w:r w:rsidRPr="00C94BAA">
              <w:rPr>
                <w:b/>
                <w:bCs/>
                <w:sz w:val="22"/>
                <w:szCs w:val="22"/>
              </w:rPr>
              <w:t>Les risques d’EAS et d’abus de pouvoir contre les femmes et les filles</w:t>
            </w:r>
            <w:r w:rsidRPr="00C94BAA">
              <w:rPr>
                <w:sz w:val="22"/>
                <w:szCs w:val="22"/>
              </w:rPr>
              <w:t xml:space="preserve"> au sein des espaces sûrs exercées par les membres des communautés les administrant, ou exercées par les travailleurs en santé communautaire, ou encore par les personnels des centres de santé primaire et des écoles et établissements d’apprentissage et formation</w:t>
            </w:r>
          </w:p>
          <w:p w14:paraId="7C5622B0" w14:textId="77777777" w:rsidR="007F1D7D" w:rsidRPr="00C94BAA" w:rsidRDefault="007F1D7D" w:rsidP="007F1D7D">
            <w:pPr>
              <w:pStyle w:val="NormalWeb"/>
              <w:numPr>
                <w:ilvl w:val="0"/>
                <w:numId w:val="38"/>
              </w:numPr>
              <w:shd w:val="clear" w:color="auto" w:fill="FFFFFF"/>
              <w:jc w:val="both"/>
              <w:rPr>
                <w:sz w:val="22"/>
                <w:szCs w:val="22"/>
              </w:rPr>
            </w:pPr>
            <w:r w:rsidRPr="00C94BAA">
              <w:rPr>
                <w:b/>
                <w:bCs/>
                <w:sz w:val="22"/>
                <w:szCs w:val="22"/>
              </w:rPr>
              <w:t>Les risques d’EAS et HS liés à l’absence de codes de conduite</w:t>
            </w:r>
            <w:r w:rsidRPr="00C94BAA">
              <w:rPr>
                <w:sz w:val="22"/>
                <w:szCs w:val="22"/>
              </w:rPr>
              <w:t xml:space="preserve"> qui prohibent et sanctionnent les EAS et HS, et qui garantissent un environnement de travail sûr et respectueux pour le personnel féminin dans les différents secteurs des composantes du projet (espaces sûrs, centres de santé primaire, milieux scolaires) </w:t>
            </w:r>
          </w:p>
          <w:p w14:paraId="0F7DB772" w14:textId="77777777" w:rsidR="007F1D7D" w:rsidRPr="00C94BAA" w:rsidRDefault="007F1D7D" w:rsidP="007F1D7D">
            <w:pPr>
              <w:pStyle w:val="NormalWeb"/>
              <w:numPr>
                <w:ilvl w:val="0"/>
                <w:numId w:val="38"/>
              </w:numPr>
              <w:shd w:val="clear" w:color="auto" w:fill="FFFFFF"/>
              <w:jc w:val="both"/>
              <w:rPr>
                <w:sz w:val="22"/>
                <w:szCs w:val="22"/>
              </w:rPr>
            </w:pPr>
            <w:r w:rsidRPr="00C94BAA">
              <w:rPr>
                <w:b/>
                <w:bCs/>
                <w:sz w:val="22"/>
                <w:szCs w:val="22"/>
              </w:rPr>
              <w:t xml:space="preserve">Les risques d’accroître ou exacerber les VBG notamment les violences conjugales contre les femmes et les violences domestiques contre les filles </w:t>
            </w:r>
            <w:r w:rsidRPr="00C94BAA">
              <w:rPr>
                <w:sz w:val="22"/>
                <w:szCs w:val="22"/>
              </w:rPr>
              <w:t xml:space="preserve">lorsque les dynamiques de rôle de genre au sein des ménages et familles sont déséquilibrées (par l’autonomisation des femmes, par l’encouragement à l’éducation des filles y inclus par le biais de bourse d’études) </w:t>
            </w:r>
          </w:p>
          <w:p w14:paraId="64F34D7B" w14:textId="77777777" w:rsidR="007F1D7D" w:rsidRPr="00C94BAA" w:rsidRDefault="007F1D7D" w:rsidP="007F1D7D">
            <w:pPr>
              <w:pStyle w:val="NormalWeb"/>
              <w:numPr>
                <w:ilvl w:val="0"/>
                <w:numId w:val="38"/>
              </w:numPr>
              <w:shd w:val="clear" w:color="auto" w:fill="FFFFFF"/>
              <w:jc w:val="both"/>
              <w:rPr>
                <w:sz w:val="22"/>
                <w:szCs w:val="22"/>
              </w:rPr>
            </w:pPr>
            <w:r w:rsidRPr="00C94BAA">
              <w:rPr>
                <w:b/>
                <w:bCs/>
                <w:sz w:val="22"/>
                <w:szCs w:val="22"/>
              </w:rPr>
              <w:t>Les risques d’assister à des pratiques néfastes et dangereuses pour les survivantes de VBG liées à l’absence de connaissance et compétences sur les VBG et EAS</w:t>
            </w:r>
            <w:r w:rsidRPr="00C94BAA">
              <w:rPr>
                <w:sz w:val="22"/>
                <w:szCs w:val="22"/>
              </w:rPr>
              <w:t xml:space="preserve"> des personnels et équipes des espaces sûrs, des travailleurs en santé communautaire ou encore les personnels des centres de santé primaire et des écoles et établissements d’apprentissage et formation, ainsi </w:t>
            </w:r>
            <w:r w:rsidRPr="00C94BAA">
              <w:rPr>
                <w:b/>
                <w:bCs/>
                <w:sz w:val="22"/>
                <w:szCs w:val="22"/>
              </w:rPr>
              <w:t>que l’absence de systèmes de référencements clairs</w:t>
            </w:r>
            <w:r w:rsidRPr="00C94BAA">
              <w:rPr>
                <w:sz w:val="22"/>
                <w:szCs w:val="22"/>
              </w:rPr>
              <w:t xml:space="preserve"> </w:t>
            </w:r>
            <w:r w:rsidRPr="00C94BAA">
              <w:rPr>
                <w:b/>
                <w:bCs/>
                <w:sz w:val="22"/>
                <w:szCs w:val="22"/>
              </w:rPr>
              <w:t>et systématiques</w:t>
            </w:r>
            <w:r w:rsidRPr="00C94BAA">
              <w:rPr>
                <w:sz w:val="22"/>
                <w:szCs w:val="22"/>
              </w:rPr>
              <w:t xml:space="preserve"> favorisant une réponse multisectorielle centrée sur les survivantes</w:t>
            </w:r>
          </w:p>
          <w:p w14:paraId="64F042F2" w14:textId="77777777" w:rsidR="007F1D7D" w:rsidRPr="00C94BAA" w:rsidRDefault="007F1D7D" w:rsidP="007F1D7D">
            <w:pPr>
              <w:pStyle w:val="NormalWeb"/>
              <w:numPr>
                <w:ilvl w:val="0"/>
                <w:numId w:val="38"/>
              </w:numPr>
              <w:shd w:val="clear" w:color="auto" w:fill="FFFFFF"/>
              <w:jc w:val="both"/>
              <w:rPr>
                <w:sz w:val="22"/>
                <w:szCs w:val="22"/>
              </w:rPr>
            </w:pPr>
            <w:r w:rsidRPr="00C94BAA">
              <w:rPr>
                <w:b/>
                <w:bCs/>
                <w:sz w:val="22"/>
                <w:szCs w:val="22"/>
              </w:rPr>
              <w:t>Les risques d’EAS et HS modérés</w:t>
            </w:r>
            <w:r w:rsidRPr="00C94BAA">
              <w:rPr>
                <w:sz w:val="22"/>
                <w:szCs w:val="22"/>
              </w:rPr>
              <w:t xml:space="preserve"> liés à un éventuel apport de main d’œuvre pour les réhabilitations des six centres de formation /apprentissage</w:t>
            </w:r>
          </w:p>
          <w:p w14:paraId="704520E4" w14:textId="77777777" w:rsidR="007F1D7D" w:rsidRPr="00C94BAA" w:rsidRDefault="007F1D7D" w:rsidP="007F1D7D">
            <w:pPr>
              <w:pStyle w:val="NormalWeb"/>
              <w:numPr>
                <w:ilvl w:val="0"/>
                <w:numId w:val="38"/>
              </w:numPr>
              <w:shd w:val="clear" w:color="auto" w:fill="FFFFFF"/>
              <w:jc w:val="both"/>
              <w:rPr>
                <w:b/>
                <w:bCs/>
                <w:sz w:val="22"/>
                <w:szCs w:val="22"/>
              </w:rPr>
            </w:pPr>
            <w:r w:rsidRPr="00C94BAA">
              <w:rPr>
                <w:b/>
                <w:bCs/>
                <w:sz w:val="22"/>
                <w:szCs w:val="22"/>
              </w:rPr>
              <w:t>L’absence de stratégies explicites adressant la prévention des EAS/HS parmi le personnel sanitaire et éducatif</w:t>
            </w:r>
          </w:p>
          <w:p w14:paraId="270BC902" w14:textId="77777777" w:rsidR="007F1D7D" w:rsidRPr="00C94BAA" w:rsidRDefault="007F1D7D" w:rsidP="00304825">
            <w:pPr>
              <w:pStyle w:val="NormalWeb"/>
              <w:shd w:val="clear" w:color="auto" w:fill="FFFFFF"/>
              <w:jc w:val="both"/>
              <w:rPr>
                <w:b/>
                <w:sz w:val="22"/>
                <w:szCs w:val="22"/>
              </w:rPr>
            </w:pPr>
          </w:p>
        </w:tc>
      </w:tr>
      <w:tr w:rsidR="007F1D7D" w:rsidRPr="00C94BAA" w14:paraId="6BBFF7FD" w14:textId="77777777" w:rsidTr="00304825">
        <w:trPr>
          <w:tblHeader/>
        </w:trPr>
        <w:tc>
          <w:tcPr>
            <w:tcW w:w="4434" w:type="dxa"/>
          </w:tcPr>
          <w:p w14:paraId="3486B31C" w14:textId="77777777" w:rsidR="007F1D7D" w:rsidRPr="00C94BAA" w:rsidRDefault="007F1D7D" w:rsidP="00304825">
            <w:pPr>
              <w:pStyle w:val="BodyText"/>
              <w:spacing w:before="0" w:after="0"/>
              <w:jc w:val="center"/>
              <w:rPr>
                <w:rFonts w:ascii="Times New Roman" w:hAnsi="Times New Roman" w:cs="Times New Roman"/>
                <w:b/>
                <w:bCs/>
                <w:sz w:val="22"/>
                <w:szCs w:val="22"/>
              </w:rPr>
            </w:pPr>
            <w:r w:rsidRPr="00C94BAA">
              <w:rPr>
                <w:rFonts w:ascii="Times New Roman" w:hAnsi="Times New Roman" w:cs="Times New Roman"/>
                <w:b/>
                <w:sz w:val="22"/>
                <w:szCs w:val="22"/>
              </w:rPr>
              <w:t>Risques de EAS/HS liés au projet</w:t>
            </w:r>
          </w:p>
        </w:tc>
        <w:tc>
          <w:tcPr>
            <w:tcW w:w="2670" w:type="dxa"/>
          </w:tcPr>
          <w:p w14:paraId="2E91FD48" w14:textId="77777777" w:rsidR="007F1D7D" w:rsidRPr="00C94BAA" w:rsidRDefault="007F1D7D" w:rsidP="00304825">
            <w:pPr>
              <w:pStyle w:val="BodyText"/>
              <w:spacing w:before="0" w:after="0"/>
              <w:jc w:val="center"/>
              <w:rPr>
                <w:rFonts w:ascii="Times New Roman" w:hAnsi="Times New Roman" w:cs="Times New Roman"/>
                <w:b/>
                <w:bCs/>
                <w:sz w:val="22"/>
                <w:szCs w:val="22"/>
              </w:rPr>
            </w:pPr>
            <w:r w:rsidRPr="00C94BAA">
              <w:rPr>
                <w:rFonts w:ascii="Times New Roman" w:hAnsi="Times New Roman" w:cs="Times New Roman"/>
                <w:b/>
                <w:sz w:val="22"/>
                <w:szCs w:val="22"/>
              </w:rPr>
              <w:t>Mesures d’atténuation</w:t>
            </w:r>
          </w:p>
        </w:tc>
        <w:tc>
          <w:tcPr>
            <w:tcW w:w="1752" w:type="dxa"/>
          </w:tcPr>
          <w:p w14:paraId="31AE9144" w14:textId="77777777" w:rsidR="007F1D7D" w:rsidRPr="00C94BAA" w:rsidRDefault="007F1D7D" w:rsidP="00304825">
            <w:pPr>
              <w:pStyle w:val="BodyText"/>
              <w:spacing w:before="0" w:after="0"/>
              <w:jc w:val="center"/>
              <w:rPr>
                <w:rFonts w:ascii="Times New Roman" w:hAnsi="Times New Roman" w:cs="Times New Roman"/>
                <w:b/>
                <w:sz w:val="22"/>
                <w:szCs w:val="22"/>
              </w:rPr>
            </w:pPr>
            <w:r w:rsidRPr="00C94BAA">
              <w:rPr>
                <w:rFonts w:ascii="Times New Roman" w:hAnsi="Times New Roman" w:cs="Times New Roman"/>
                <w:b/>
                <w:sz w:val="22"/>
                <w:szCs w:val="22"/>
              </w:rPr>
              <w:t>Responsable</w:t>
            </w:r>
          </w:p>
        </w:tc>
        <w:tc>
          <w:tcPr>
            <w:tcW w:w="1711" w:type="dxa"/>
          </w:tcPr>
          <w:p w14:paraId="1107BCF1" w14:textId="77777777" w:rsidR="007F1D7D" w:rsidRPr="00C94BAA" w:rsidRDefault="007F1D7D" w:rsidP="00304825">
            <w:pPr>
              <w:pStyle w:val="BodyText"/>
              <w:spacing w:before="0" w:after="0"/>
              <w:jc w:val="center"/>
              <w:rPr>
                <w:rFonts w:ascii="Times New Roman" w:hAnsi="Times New Roman" w:cs="Times New Roman"/>
                <w:b/>
                <w:sz w:val="22"/>
                <w:szCs w:val="22"/>
              </w:rPr>
            </w:pPr>
            <w:r w:rsidRPr="00C94BAA">
              <w:rPr>
                <w:rFonts w:ascii="Times New Roman" w:hAnsi="Times New Roman" w:cs="Times New Roman"/>
                <w:b/>
                <w:sz w:val="22"/>
                <w:szCs w:val="22"/>
              </w:rPr>
              <w:t>Échéance</w:t>
            </w:r>
          </w:p>
        </w:tc>
        <w:tc>
          <w:tcPr>
            <w:tcW w:w="2261" w:type="dxa"/>
            <w:shd w:val="clear" w:color="auto" w:fill="FFFFFF" w:themeFill="background1"/>
          </w:tcPr>
          <w:p w14:paraId="70E817DB" w14:textId="77777777" w:rsidR="007F1D7D" w:rsidRPr="00C94BAA" w:rsidRDefault="007F1D7D" w:rsidP="00304825">
            <w:pPr>
              <w:pStyle w:val="BodyText"/>
              <w:spacing w:before="0" w:after="0"/>
              <w:jc w:val="center"/>
              <w:rPr>
                <w:rFonts w:ascii="Times New Roman" w:hAnsi="Times New Roman" w:cs="Times New Roman"/>
                <w:b/>
                <w:sz w:val="22"/>
                <w:szCs w:val="22"/>
              </w:rPr>
            </w:pPr>
            <w:r w:rsidRPr="00C94BAA">
              <w:rPr>
                <w:rFonts w:ascii="Times New Roman" w:hAnsi="Times New Roman" w:cs="Times New Roman"/>
                <w:b/>
                <w:sz w:val="22"/>
                <w:szCs w:val="22"/>
              </w:rPr>
              <w:t>Indicateur(s)</w:t>
            </w:r>
          </w:p>
        </w:tc>
        <w:tc>
          <w:tcPr>
            <w:tcW w:w="1479" w:type="dxa"/>
            <w:shd w:val="clear" w:color="auto" w:fill="E7E6E6" w:themeFill="background2"/>
          </w:tcPr>
          <w:p w14:paraId="12E81024" w14:textId="77777777" w:rsidR="007F1D7D" w:rsidRPr="00C94BAA" w:rsidRDefault="007F1D7D" w:rsidP="00304825">
            <w:pPr>
              <w:pStyle w:val="BodyText"/>
              <w:spacing w:before="0" w:after="0"/>
              <w:jc w:val="center"/>
              <w:rPr>
                <w:rFonts w:ascii="Times New Roman" w:hAnsi="Times New Roman" w:cs="Times New Roman"/>
                <w:b/>
                <w:sz w:val="22"/>
                <w:szCs w:val="22"/>
              </w:rPr>
            </w:pPr>
            <w:r w:rsidRPr="00C94BAA">
              <w:rPr>
                <w:rFonts w:ascii="Times New Roman" w:hAnsi="Times New Roman" w:cs="Times New Roman"/>
                <w:b/>
                <w:sz w:val="22"/>
                <w:szCs w:val="22"/>
              </w:rPr>
              <w:t>Budget</w:t>
            </w:r>
          </w:p>
        </w:tc>
      </w:tr>
      <w:tr w:rsidR="007F1D7D" w:rsidRPr="00C94BAA" w14:paraId="6D9C5F31" w14:textId="77777777" w:rsidTr="00304825">
        <w:trPr>
          <w:tblHeader/>
        </w:trPr>
        <w:tc>
          <w:tcPr>
            <w:tcW w:w="14307" w:type="dxa"/>
            <w:gridSpan w:val="6"/>
          </w:tcPr>
          <w:p w14:paraId="3E99869E" w14:textId="77777777" w:rsidR="007F1D7D" w:rsidRPr="00C94BAA" w:rsidRDefault="007F1D7D" w:rsidP="00304825">
            <w:pPr>
              <w:pStyle w:val="NormalWeb"/>
              <w:shd w:val="clear" w:color="auto" w:fill="FFFFFF"/>
              <w:rPr>
                <w:b/>
                <w:bCs/>
                <w:color w:val="4472C4" w:themeColor="accent1"/>
                <w:sz w:val="22"/>
                <w:szCs w:val="22"/>
              </w:rPr>
            </w:pPr>
          </w:p>
          <w:p w14:paraId="22CE2FD8" w14:textId="77777777" w:rsidR="007F1D7D" w:rsidRPr="00C94BAA" w:rsidRDefault="007F1D7D" w:rsidP="00304825">
            <w:pPr>
              <w:pStyle w:val="NormalWeb"/>
              <w:shd w:val="clear" w:color="auto" w:fill="FFFFFF"/>
              <w:rPr>
                <w:b/>
                <w:bCs/>
                <w:color w:val="4472C4" w:themeColor="accent1"/>
                <w:sz w:val="22"/>
                <w:szCs w:val="22"/>
              </w:rPr>
            </w:pPr>
            <w:r w:rsidRPr="00C94BAA">
              <w:rPr>
                <w:b/>
                <w:bCs/>
                <w:color w:val="4472C4" w:themeColor="accent1"/>
                <w:sz w:val="22"/>
                <w:szCs w:val="22"/>
              </w:rPr>
              <w:lastRenderedPageBreak/>
              <w:t xml:space="preserve">COMPOSANTE 1 : Espaces sûrs pour les femmes et les filles </w:t>
            </w:r>
          </w:p>
          <w:p w14:paraId="5B0E4024" w14:textId="77777777" w:rsidR="007F1D7D" w:rsidRPr="00C94BAA" w:rsidRDefault="007F1D7D" w:rsidP="00304825">
            <w:pPr>
              <w:pStyle w:val="NormalWeb"/>
              <w:shd w:val="clear" w:color="auto" w:fill="FFFFFF"/>
              <w:rPr>
                <w:b/>
                <w:bCs/>
                <w:sz w:val="22"/>
                <w:szCs w:val="22"/>
              </w:rPr>
            </w:pPr>
            <w:r w:rsidRPr="00C94BAA">
              <w:rPr>
                <w:b/>
                <w:bCs/>
                <w:sz w:val="22"/>
                <w:szCs w:val="22"/>
              </w:rPr>
              <w:t>Cette composante financera la mise en place d’espaces sûrs à destination des femmes et des filles âgées de 10 à 24 ans (activités récréatives, et programmes de développement des compétences basiques en lecture, écriture, etc. ; ainsi que des compétences interpersonnelles et enfin d’autres pans de la</w:t>
            </w:r>
            <w:r w:rsidRPr="00C94BAA">
              <w:rPr>
                <w:sz w:val="22"/>
                <w:szCs w:val="22"/>
              </w:rPr>
              <w:t xml:space="preserve"> </w:t>
            </w:r>
            <w:r w:rsidRPr="00C94BAA">
              <w:rPr>
                <w:b/>
                <w:bCs/>
                <w:sz w:val="22"/>
                <w:szCs w:val="22"/>
              </w:rPr>
              <w:t xml:space="preserve">stratégie d’autonomisation des femmes et des filles). Ces projets seront gérés par des membres de la communauté. </w:t>
            </w:r>
          </w:p>
          <w:p w14:paraId="4CBF9AA4" w14:textId="77777777" w:rsidR="007F1D7D" w:rsidRPr="00C94BAA" w:rsidRDefault="007F1D7D" w:rsidP="00304825">
            <w:pPr>
              <w:pStyle w:val="NormalWeb"/>
              <w:shd w:val="clear" w:color="auto" w:fill="FFFFFF"/>
              <w:rPr>
                <w:b/>
                <w:bCs/>
                <w:sz w:val="22"/>
                <w:szCs w:val="22"/>
              </w:rPr>
            </w:pPr>
          </w:p>
        </w:tc>
      </w:tr>
      <w:tr w:rsidR="007F1D7D" w:rsidRPr="00C94BAA" w14:paraId="7C55FF0B" w14:textId="77777777" w:rsidTr="00304825">
        <w:trPr>
          <w:trHeight w:val="4243"/>
        </w:trPr>
        <w:tc>
          <w:tcPr>
            <w:tcW w:w="4434" w:type="dxa"/>
          </w:tcPr>
          <w:p w14:paraId="22FCBDEF" w14:textId="77777777" w:rsidR="007F1D7D" w:rsidRPr="00C94BAA" w:rsidRDefault="007F1D7D" w:rsidP="00304825">
            <w:pPr>
              <w:autoSpaceDE w:val="0"/>
              <w:autoSpaceDN w:val="0"/>
              <w:adjustRightInd w:val="0"/>
              <w:rPr>
                <w:rFonts w:ascii="Times New Roman" w:eastAsia="MS Mincho" w:hAnsi="Times New Roman" w:cs="Times New Roman"/>
                <w:bCs/>
              </w:rPr>
            </w:pPr>
            <w:r w:rsidRPr="00C94BAA">
              <w:rPr>
                <w:rFonts w:ascii="Times New Roman" w:eastAsia="MS Mincho" w:hAnsi="Times New Roman" w:cs="Times New Roman"/>
                <w:bCs/>
              </w:rPr>
              <w:lastRenderedPageBreak/>
              <w:t xml:space="preserve">1a. </w:t>
            </w:r>
            <w:r w:rsidRPr="00C94BAA">
              <w:rPr>
                <w:rFonts w:ascii="Times New Roman" w:hAnsi="Times New Roman" w:cs="Times New Roman"/>
              </w:rPr>
              <w:t xml:space="preserve"> Risques d’EAS et d’abus de pouvoir contre les femmes et les filles au sein des espaces sûrs exercés par les membres des communautés les administrant</w:t>
            </w:r>
          </w:p>
          <w:p w14:paraId="550F394A" w14:textId="77777777" w:rsidR="007F1D7D" w:rsidRPr="00C94BAA" w:rsidRDefault="007F1D7D" w:rsidP="00304825">
            <w:pPr>
              <w:autoSpaceDE w:val="0"/>
              <w:autoSpaceDN w:val="0"/>
              <w:adjustRightInd w:val="0"/>
              <w:rPr>
                <w:rFonts w:ascii="Times New Roman" w:eastAsia="MS Mincho" w:hAnsi="Times New Roman" w:cs="Times New Roman"/>
                <w:bCs/>
              </w:rPr>
            </w:pPr>
            <w:r w:rsidRPr="00C94BAA">
              <w:rPr>
                <w:rFonts w:ascii="Times New Roman" w:eastAsia="MS Mincho" w:hAnsi="Times New Roman" w:cs="Times New Roman"/>
                <w:bCs/>
              </w:rPr>
              <w:t xml:space="preserve">1b.  </w:t>
            </w:r>
            <w:r w:rsidRPr="00C94BAA">
              <w:rPr>
                <w:rFonts w:ascii="Times New Roman" w:hAnsi="Times New Roman" w:cs="Times New Roman"/>
              </w:rPr>
              <w:t xml:space="preserve"> Risques d’EAS et HS liés à l’absence de code de conduite qui prohibe et sanctionne les EAS et HS</w:t>
            </w:r>
          </w:p>
          <w:p w14:paraId="44159FF4" w14:textId="77777777" w:rsidR="007F1D7D" w:rsidRPr="00C94BAA" w:rsidRDefault="007F1D7D" w:rsidP="00304825">
            <w:pPr>
              <w:autoSpaceDE w:val="0"/>
              <w:autoSpaceDN w:val="0"/>
              <w:adjustRightInd w:val="0"/>
              <w:rPr>
                <w:rFonts w:ascii="Times New Roman" w:eastAsia="MS Mincho" w:hAnsi="Times New Roman" w:cs="Times New Roman"/>
                <w:bCs/>
              </w:rPr>
            </w:pPr>
          </w:p>
        </w:tc>
        <w:tc>
          <w:tcPr>
            <w:tcW w:w="2670" w:type="dxa"/>
          </w:tcPr>
          <w:p w14:paraId="0CA625D7" w14:textId="77777777" w:rsidR="007F1D7D" w:rsidRPr="00C94BAA" w:rsidRDefault="007F1D7D" w:rsidP="00304825">
            <w:pPr>
              <w:autoSpaceDE w:val="0"/>
              <w:autoSpaceDN w:val="0"/>
              <w:adjustRightInd w:val="0"/>
              <w:spacing w:after="120" w:line="240" w:lineRule="auto"/>
              <w:rPr>
                <w:rFonts w:ascii="Times New Roman" w:eastAsia="MS Mincho" w:hAnsi="Times New Roman" w:cs="Times New Roman"/>
                <w:b/>
              </w:rPr>
            </w:pPr>
            <w:r w:rsidRPr="00C94BAA">
              <w:rPr>
                <w:rFonts w:ascii="Times New Roman" w:eastAsia="MS Mincho" w:hAnsi="Times New Roman" w:cs="Times New Roman"/>
                <w:b/>
              </w:rPr>
              <w:t>a. Plan de redevabilité et réponse, incluant :</w:t>
            </w:r>
          </w:p>
          <w:p w14:paraId="5D06668C" w14:textId="77777777" w:rsidR="007F1D7D" w:rsidRPr="00C94BAA" w:rsidRDefault="007F1D7D" w:rsidP="007F1D7D">
            <w:pPr>
              <w:pStyle w:val="ListParagraph"/>
              <w:numPr>
                <w:ilvl w:val="0"/>
                <w:numId w:val="39"/>
              </w:numPr>
              <w:autoSpaceDE w:val="0"/>
              <w:autoSpaceDN w:val="0"/>
              <w:adjustRightInd w:val="0"/>
              <w:spacing w:after="120" w:line="240" w:lineRule="auto"/>
              <w:ind w:left="424" w:hanging="284"/>
              <w:rPr>
                <w:rFonts w:ascii="Times New Roman" w:eastAsia="MS Mincho" w:hAnsi="Times New Roman" w:cs="Times New Roman"/>
                <w:b/>
              </w:rPr>
            </w:pPr>
            <w:r w:rsidRPr="00C94BAA">
              <w:rPr>
                <w:rFonts w:ascii="Times New Roman" w:eastAsia="MS Mincho" w:hAnsi="Times New Roman" w:cs="Times New Roman"/>
                <w:bCs/>
              </w:rPr>
              <w:t>Élaboration et signature des codes de conduite pour les travailleurs et le personnel du projet,</w:t>
            </w:r>
            <w:r>
              <w:rPr>
                <w:rFonts w:ascii="Times New Roman" w:eastAsia="MS Mincho" w:hAnsi="Times New Roman" w:cs="Times New Roman"/>
                <w:bCs/>
              </w:rPr>
              <w:t xml:space="preserve">  ainsi que les mentors/conseillers qui vont diriger les Espaces Surs et les clubs </w:t>
            </w:r>
            <w:r w:rsidRPr="00C94BAA">
              <w:rPr>
                <w:rFonts w:ascii="Times New Roman" w:eastAsia="MS Mincho" w:hAnsi="Times New Roman" w:cs="Times New Roman"/>
                <w:bCs/>
              </w:rPr>
              <w:t xml:space="preserve"> qui comprennent au minimum les éléments suivants :</w:t>
            </w:r>
          </w:p>
          <w:p w14:paraId="5998E099" w14:textId="77777777" w:rsidR="007F1D7D" w:rsidRPr="00C94BAA" w:rsidRDefault="007F1D7D" w:rsidP="00304825">
            <w:pPr>
              <w:pStyle w:val="ListParagraph"/>
              <w:autoSpaceDE w:val="0"/>
              <w:autoSpaceDN w:val="0"/>
              <w:adjustRightInd w:val="0"/>
              <w:spacing w:after="120" w:line="240" w:lineRule="auto"/>
              <w:ind w:left="424"/>
              <w:rPr>
                <w:rFonts w:ascii="Times New Roman" w:eastAsia="MS Mincho" w:hAnsi="Times New Roman" w:cs="Times New Roman"/>
                <w:b/>
              </w:rPr>
            </w:pPr>
          </w:p>
          <w:p w14:paraId="58ED4252" w14:textId="77777777" w:rsidR="007F1D7D" w:rsidRPr="00C94BAA" w:rsidRDefault="007F1D7D" w:rsidP="007F1D7D">
            <w:pPr>
              <w:pStyle w:val="ListParagraph"/>
              <w:numPr>
                <w:ilvl w:val="0"/>
                <w:numId w:val="33"/>
              </w:numPr>
              <w:autoSpaceDE w:val="0"/>
              <w:autoSpaceDN w:val="0"/>
              <w:adjustRightInd w:val="0"/>
              <w:spacing w:after="120" w:line="240" w:lineRule="auto"/>
              <w:contextualSpacing w:val="0"/>
              <w:rPr>
                <w:rFonts w:ascii="Times New Roman" w:eastAsia="MS Mincho" w:hAnsi="Times New Roman" w:cs="Times New Roman"/>
                <w:b/>
              </w:rPr>
            </w:pPr>
            <w:r w:rsidRPr="00C94BAA">
              <w:rPr>
                <w:rFonts w:ascii="Times New Roman" w:eastAsia="MS Mincho" w:hAnsi="Times New Roman" w:cs="Times New Roman"/>
                <w:bCs/>
              </w:rPr>
              <w:t>Comportement interdit</w:t>
            </w:r>
          </w:p>
          <w:p w14:paraId="21161D7B" w14:textId="77777777" w:rsidR="007F1D7D" w:rsidRPr="00C94BAA" w:rsidRDefault="007F1D7D" w:rsidP="007F1D7D">
            <w:pPr>
              <w:pStyle w:val="ListParagraph"/>
              <w:numPr>
                <w:ilvl w:val="0"/>
                <w:numId w:val="33"/>
              </w:numPr>
              <w:autoSpaceDE w:val="0"/>
              <w:autoSpaceDN w:val="0"/>
              <w:adjustRightInd w:val="0"/>
              <w:spacing w:after="120" w:line="240" w:lineRule="auto"/>
              <w:contextualSpacing w:val="0"/>
              <w:rPr>
                <w:rFonts w:ascii="Times New Roman" w:eastAsia="MS Mincho" w:hAnsi="Times New Roman" w:cs="Times New Roman"/>
                <w:b/>
              </w:rPr>
            </w:pPr>
            <w:r w:rsidRPr="00C94BAA">
              <w:rPr>
                <w:rFonts w:ascii="Times New Roman" w:eastAsia="MS Mincho" w:hAnsi="Times New Roman" w:cs="Times New Roman"/>
                <w:bCs/>
              </w:rPr>
              <w:t>Liste des sanctions</w:t>
            </w:r>
          </w:p>
          <w:p w14:paraId="6875BB6B" w14:textId="77777777" w:rsidR="007F1D7D" w:rsidRPr="00C94BAA" w:rsidRDefault="007F1D7D" w:rsidP="007F1D7D">
            <w:pPr>
              <w:pStyle w:val="ListParagraph"/>
              <w:numPr>
                <w:ilvl w:val="0"/>
                <w:numId w:val="33"/>
              </w:numPr>
              <w:autoSpaceDE w:val="0"/>
              <w:autoSpaceDN w:val="0"/>
              <w:adjustRightInd w:val="0"/>
              <w:spacing w:after="120" w:line="240" w:lineRule="auto"/>
              <w:contextualSpacing w:val="0"/>
              <w:rPr>
                <w:rFonts w:ascii="Times New Roman" w:eastAsia="MS Mincho" w:hAnsi="Times New Roman" w:cs="Times New Roman"/>
                <w:b/>
              </w:rPr>
            </w:pPr>
            <w:r w:rsidRPr="00C94BAA">
              <w:rPr>
                <w:rFonts w:ascii="Times New Roman" w:eastAsia="MS Mincho" w:hAnsi="Times New Roman" w:cs="Times New Roman"/>
                <w:bCs/>
              </w:rPr>
              <w:t>Standards minimums à suivre pour l’UGP</w:t>
            </w:r>
          </w:p>
          <w:p w14:paraId="07A3D982" w14:textId="77777777" w:rsidR="007F1D7D" w:rsidRPr="00C94BAA" w:rsidRDefault="007F1D7D" w:rsidP="007F1D7D">
            <w:pPr>
              <w:pStyle w:val="ListParagraph"/>
              <w:numPr>
                <w:ilvl w:val="0"/>
                <w:numId w:val="33"/>
              </w:numPr>
              <w:autoSpaceDE w:val="0"/>
              <w:autoSpaceDN w:val="0"/>
              <w:adjustRightInd w:val="0"/>
              <w:spacing w:after="120" w:line="240" w:lineRule="auto"/>
              <w:contextualSpacing w:val="0"/>
              <w:rPr>
                <w:rFonts w:ascii="Times New Roman" w:eastAsia="MS Mincho" w:hAnsi="Times New Roman" w:cs="Times New Roman"/>
                <w:b/>
              </w:rPr>
            </w:pPr>
            <w:r w:rsidRPr="00C94BAA">
              <w:rPr>
                <w:rFonts w:ascii="Times New Roman" w:eastAsia="MS Mincho" w:hAnsi="Times New Roman" w:cs="Times New Roman"/>
                <w:bCs/>
              </w:rPr>
              <w:lastRenderedPageBreak/>
              <w:t>Obligations de rapportage et mécanisme de recueil des plaintes</w:t>
            </w:r>
          </w:p>
          <w:p w14:paraId="33DBF757" w14:textId="77777777" w:rsidR="007F1D7D" w:rsidRPr="00C94BAA" w:rsidRDefault="007F1D7D" w:rsidP="007F1D7D">
            <w:pPr>
              <w:pStyle w:val="ListParagraph"/>
              <w:numPr>
                <w:ilvl w:val="0"/>
                <w:numId w:val="39"/>
              </w:numPr>
              <w:autoSpaceDE w:val="0"/>
              <w:autoSpaceDN w:val="0"/>
              <w:adjustRightInd w:val="0"/>
              <w:spacing w:after="120" w:line="240" w:lineRule="auto"/>
              <w:ind w:left="565" w:hanging="425"/>
              <w:rPr>
                <w:rFonts w:ascii="Times New Roman" w:eastAsia="MS Mincho" w:hAnsi="Times New Roman" w:cs="Times New Roman"/>
                <w:b/>
              </w:rPr>
            </w:pPr>
            <w:r w:rsidRPr="00C94BAA">
              <w:rPr>
                <w:rFonts w:ascii="Times New Roman" w:eastAsia="MS Mincho" w:hAnsi="Times New Roman" w:cs="Times New Roman"/>
                <w:bCs/>
              </w:rPr>
              <w:t>Mise en place du MGP sensible à l’EAS/HS, qui comprend au minimum les éléments suivants :</w:t>
            </w:r>
          </w:p>
          <w:p w14:paraId="18AC9767" w14:textId="77777777" w:rsidR="007F1D7D" w:rsidRPr="00C94BAA" w:rsidRDefault="007F1D7D" w:rsidP="00304825">
            <w:pPr>
              <w:pStyle w:val="ListParagraph"/>
              <w:autoSpaceDE w:val="0"/>
              <w:autoSpaceDN w:val="0"/>
              <w:adjustRightInd w:val="0"/>
              <w:spacing w:after="120" w:line="240" w:lineRule="auto"/>
              <w:ind w:left="565"/>
              <w:rPr>
                <w:rFonts w:ascii="Times New Roman" w:eastAsia="MS Mincho" w:hAnsi="Times New Roman" w:cs="Times New Roman"/>
                <w:b/>
              </w:rPr>
            </w:pPr>
          </w:p>
          <w:p w14:paraId="3039193E" w14:textId="77777777" w:rsidR="007F1D7D" w:rsidRPr="00C94BAA" w:rsidRDefault="007F1D7D" w:rsidP="007F1D7D">
            <w:pPr>
              <w:pStyle w:val="ListParagraph"/>
              <w:numPr>
                <w:ilvl w:val="0"/>
                <w:numId w:val="33"/>
              </w:numPr>
              <w:autoSpaceDE w:val="0"/>
              <w:autoSpaceDN w:val="0"/>
              <w:adjustRightInd w:val="0"/>
              <w:spacing w:after="120" w:line="240" w:lineRule="auto"/>
              <w:contextualSpacing w:val="0"/>
              <w:rPr>
                <w:rFonts w:ascii="Times New Roman" w:eastAsia="MS Mincho" w:hAnsi="Times New Roman" w:cs="Times New Roman"/>
                <w:b/>
              </w:rPr>
            </w:pPr>
            <w:r w:rsidRPr="00C94BAA">
              <w:rPr>
                <w:rFonts w:ascii="Times New Roman" w:eastAsia="MS Mincho" w:hAnsi="Times New Roman" w:cs="Times New Roman"/>
                <w:bCs/>
              </w:rPr>
              <w:t>Procédures spécifiques pour traiter les plaintes liées à l’EAS/HS, y compris le délai et les possibles sanctions</w:t>
            </w:r>
          </w:p>
          <w:p w14:paraId="198A3CA9" w14:textId="77777777" w:rsidR="007F1D7D" w:rsidRPr="00C94BAA" w:rsidRDefault="007F1D7D" w:rsidP="007F1D7D">
            <w:pPr>
              <w:pStyle w:val="ListParagraph"/>
              <w:numPr>
                <w:ilvl w:val="0"/>
                <w:numId w:val="33"/>
              </w:numPr>
              <w:autoSpaceDE w:val="0"/>
              <w:autoSpaceDN w:val="0"/>
              <w:adjustRightInd w:val="0"/>
              <w:spacing w:after="120" w:line="240" w:lineRule="auto"/>
              <w:contextualSpacing w:val="0"/>
              <w:rPr>
                <w:rFonts w:ascii="Times New Roman" w:eastAsia="MS Mincho" w:hAnsi="Times New Roman" w:cs="Times New Roman"/>
                <w:b/>
              </w:rPr>
            </w:pPr>
            <w:r w:rsidRPr="00C94BAA">
              <w:rPr>
                <w:rFonts w:ascii="Times New Roman" w:eastAsia="MS Mincho" w:hAnsi="Times New Roman" w:cs="Times New Roman"/>
                <w:bCs/>
              </w:rPr>
              <w:t>Procédures pour rapporter les plaintes liées à l’EAS/HS, y compris les voies accessibles aux communautés ciblées et au personnel du projet</w:t>
            </w:r>
          </w:p>
          <w:p w14:paraId="6745F0C4" w14:textId="77777777" w:rsidR="007F1D7D" w:rsidRPr="00C94BAA" w:rsidRDefault="007F1D7D" w:rsidP="007F1D7D">
            <w:pPr>
              <w:pStyle w:val="ListParagraph"/>
              <w:numPr>
                <w:ilvl w:val="0"/>
                <w:numId w:val="33"/>
              </w:numPr>
              <w:autoSpaceDE w:val="0"/>
              <w:autoSpaceDN w:val="0"/>
              <w:adjustRightInd w:val="0"/>
              <w:spacing w:after="120" w:line="240" w:lineRule="auto"/>
              <w:contextualSpacing w:val="0"/>
              <w:rPr>
                <w:rFonts w:ascii="Times New Roman" w:eastAsia="MS Mincho" w:hAnsi="Times New Roman" w:cs="Times New Roman"/>
                <w:b/>
              </w:rPr>
            </w:pPr>
            <w:r w:rsidRPr="00C94BAA">
              <w:rPr>
                <w:rFonts w:ascii="Times New Roman" w:eastAsia="MS Mincho" w:hAnsi="Times New Roman" w:cs="Times New Roman"/>
                <w:bCs/>
              </w:rPr>
              <w:t xml:space="preserve">Obligations concernant les principes directeurs pour le traitement éthique et </w:t>
            </w:r>
            <w:r w:rsidRPr="00C94BAA">
              <w:rPr>
                <w:rFonts w:ascii="Times New Roman" w:eastAsia="MS Mincho" w:hAnsi="Times New Roman" w:cs="Times New Roman"/>
                <w:bCs/>
              </w:rPr>
              <w:lastRenderedPageBreak/>
              <w:t>confidentiel de ce genre des plaintes</w:t>
            </w:r>
          </w:p>
          <w:p w14:paraId="01327316" w14:textId="77777777" w:rsidR="007F1D7D" w:rsidRPr="00C94BAA" w:rsidRDefault="007F1D7D" w:rsidP="007F1D7D">
            <w:pPr>
              <w:pStyle w:val="ListParagraph"/>
              <w:numPr>
                <w:ilvl w:val="0"/>
                <w:numId w:val="39"/>
              </w:numPr>
              <w:tabs>
                <w:tab w:val="left" w:pos="565"/>
              </w:tabs>
              <w:autoSpaceDE w:val="0"/>
              <w:autoSpaceDN w:val="0"/>
              <w:adjustRightInd w:val="0"/>
              <w:spacing w:after="120" w:line="240" w:lineRule="auto"/>
              <w:ind w:left="424" w:hanging="284"/>
              <w:rPr>
                <w:rFonts w:ascii="Times New Roman" w:eastAsia="MS Mincho" w:hAnsi="Times New Roman" w:cs="Times New Roman"/>
                <w:b/>
              </w:rPr>
            </w:pPr>
            <w:r w:rsidRPr="00C94BAA">
              <w:rPr>
                <w:rFonts w:ascii="Times New Roman" w:eastAsia="MS Mincho" w:hAnsi="Times New Roman" w:cs="Times New Roman"/>
                <w:bCs/>
              </w:rPr>
              <w:t>Protocole de réponse et cartographie des services de soutien intégré dans toutes les zones d’intervention, y compris les modalités pour le référencement sûr et confidentiel des cas signalés aux services</w:t>
            </w:r>
          </w:p>
          <w:p w14:paraId="0775CB58" w14:textId="77777777" w:rsidR="007F1D7D" w:rsidRPr="00C94BAA" w:rsidRDefault="007F1D7D" w:rsidP="00304825">
            <w:pPr>
              <w:pStyle w:val="ListParagraph"/>
              <w:autoSpaceDE w:val="0"/>
              <w:autoSpaceDN w:val="0"/>
              <w:adjustRightInd w:val="0"/>
              <w:spacing w:after="120" w:line="240" w:lineRule="auto"/>
              <w:ind w:left="335"/>
              <w:contextualSpacing w:val="0"/>
              <w:rPr>
                <w:rFonts w:ascii="Times New Roman" w:eastAsia="MS Mincho" w:hAnsi="Times New Roman" w:cs="Times New Roman"/>
                <w:b/>
              </w:rPr>
            </w:pPr>
          </w:p>
        </w:tc>
        <w:tc>
          <w:tcPr>
            <w:tcW w:w="1752" w:type="dxa"/>
          </w:tcPr>
          <w:p w14:paraId="4D0692DC" w14:textId="77777777" w:rsidR="007F1D7D" w:rsidRPr="008F2979" w:rsidRDefault="007F1D7D" w:rsidP="00304825">
            <w:pPr>
              <w:pStyle w:val="BodyText"/>
              <w:spacing w:before="0" w:after="0"/>
              <w:jc w:val="left"/>
              <w:rPr>
                <w:rFonts w:ascii="Times New Roman" w:hAnsi="Times New Roman" w:cs="Times New Roman"/>
                <w:bCs/>
                <w:sz w:val="22"/>
                <w:szCs w:val="22"/>
              </w:rPr>
            </w:pPr>
            <w:r w:rsidRPr="007F20ED">
              <w:rPr>
                <w:rFonts w:ascii="Times New Roman" w:hAnsi="Times New Roman" w:cs="Times New Roman"/>
                <w:bCs/>
                <w:color w:val="FF0000"/>
                <w:sz w:val="22"/>
                <w:szCs w:val="22"/>
              </w:rPr>
              <w:lastRenderedPageBreak/>
              <w:t>-</w:t>
            </w:r>
            <w:r w:rsidRPr="008F2979">
              <w:rPr>
                <w:rFonts w:ascii="Times New Roman" w:hAnsi="Times New Roman" w:cs="Times New Roman"/>
                <w:bCs/>
                <w:sz w:val="22"/>
                <w:szCs w:val="22"/>
              </w:rPr>
              <w:t>UCP/</w:t>
            </w:r>
          </w:p>
          <w:p w14:paraId="103CE77E" w14:textId="77777777" w:rsidR="007F1D7D" w:rsidRPr="008F2979" w:rsidRDefault="007F1D7D" w:rsidP="00304825">
            <w:pPr>
              <w:pStyle w:val="BodyText"/>
              <w:spacing w:before="0" w:after="0"/>
              <w:jc w:val="left"/>
              <w:rPr>
                <w:rFonts w:ascii="Times New Roman" w:hAnsi="Times New Roman" w:cs="Times New Roman"/>
                <w:bCs/>
                <w:sz w:val="22"/>
                <w:szCs w:val="22"/>
              </w:rPr>
            </w:pPr>
            <w:r w:rsidRPr="008F2979">
              <w:rPr>
                <w:rFonts w:ascii="Times New Roman" w:hAnsi="Times New Roman" w:cs="Times New Roman"/>
                <w:bCs/>
                <w:sz w:val="22"/>
                <w:szCs w:val="22"/>
              </w:rPr>
              <w:t>Coordonnateur</w:t>
            </w:r>
          </w:p>
          <w:p w14:paraId="0B89753D" w14:textId="77777777" w:rsidR="007F1D7D" w:rsidRPr="008F2979" w:rsidRDefault="007F1D7D" w:rsidP="00304825">
            <w:pPr>
              <w:pStyle w:val="BodyText"/>
              <w:spacing w:before="0" w:after="0"/>
              <w:jc w:val="left"/>
              <w:rPr>
                <w:rFonts w:ascii="Times New Roman" w:hAnsi="Times New Roman" w:cs="Times New Roman"/>
                <w:bCs/>
                <w:sz w:val="22"/>
                <w:szCs w:val="22"/>
              </w:rPr>
            </w:pPr>
          </w:p>
          <w:p w14:paraId="33635BEF" w14:textId="77777777" w:rsidR="007F1D7D" w:rsidRPr="008F2979" w:rsidRDefault="007F1D7D" w:rsidP="00304825">
            <w:pPr>
              <w:pStyle w:val="BodyText"/>
              <w:spacing w:before="0" w:after="0"/>
              <w:jc w:val="left"/>
              <w:rPr>
                <w:rFonts w:ascii="Times New Roman" w:hAnsi="Times New Roman" w:cs="Times New Roman"/>
                <w:bCs/>
                <w:sz w:val="22"/>
                <w:szCs w:val="22"/>
              </w:rPr>
            </w:pPr>
            <w:r w:rsidRPr="008F2979">
              <w:rPr>
                <w:rFonts w:ascii="Times New Roman" w:hAnsi="Times New Roman" w:cs="Times New Roman"/>
                <w:bCs/>
                <w:sz w:val="22"/>
                <w:szCs w:val="22"/>
              </w:rPr>
              <w:t xml:space="preserve">-Ministère des affaires sociales </w:t>
            </w:r>
          </w:p>
          <w:p w14:paraId="05CAB133" w14:textId="77777777" w:rsidR="007F1D7D" w:rsidRPr="008F2979" w:rsidRDefault="007F1D7D" w:rsidP="00304825">
            <w:pPr>
              <w:pStyle w:val="BodyText"/>
              <w:spacing w:before="0" w:after="0"/>
              <w:jc w:val="left"/>
              <w:rPr>
                <w:rFonts w:ascii="Times New Roman" w:hAnsi="Times New Roman" w:cs="Times New Roman"/>
                <w:bCs/>
                <w:sz w:val="22"/>
                <w:szCs w:val="22"/>
              </w:rPr>
            </w:pPr>
          </w:p>
          <w:p w14:paraId="4BFCAF0B" w14:textId="77777777" w:rsidR="007F1D7D" w:rsidRPr="008F2979" w:rsidRDefault="007F1D7D" w:rsidP="00304825">
            <w:pPr>
              <w:pStyle w:val="BodyText"/>
              <w:spacing w:before="0" w:after="0"/>
              <w:jc w:val="left"/>
              <w:rPr>
                <w:rFonts w:ascii="Times New Roman" w:hAnsi="Times New Roman" w:cs="Times New Roman"/>
                <w:bCs/>
                <w:sz w:val="22"/>
                <w:szCs w:val="22"/>
              </w:rPr>
            </w:pPr>
            <w:r w:rsidRPr="008F2979">
              <w:rPr>
                <w:rFonts w:ascii="Times New Roman" w:hAnsi="Times New Roman" w:cs="Times New Roman"/>
                <w:bCs/>
                <w:sz w:val="22"/>
                <w:szCs w:val="22"/>
              </w:rPr>
              <w:t>-Expert en VBG</w:t>
            </w:r>
          </w:p>
          <w:p w14:paraId="37D417B5" w14:textId="77777777" w:rsidR="007F1D7D" w:rsidRPr="008F2979" w:rsidRDefault="007F1D7D" w:rsidP="00304825">
            <w:pPr>
              <w:pStyle w:val="BodyText"/>
              <w:spacing w:before="0" w:after="0"/>
              <w:jc w:val="left"/>
              <w:rPr>
                <w:rFonts w:ascii="Times New Roman" w:hAnsi="Times New Roman" w:cs="Times New Roman"/>
                <w:bCs/>
                <w:sz w:val="22"/>
                <w:szCs w:val="22"/>
              </w:rPr>
            </w:pPr>
          </w:p>
          <w:p w14:paraId="5E9E4502" w14:textId="77777777" w:rsidR="007F1D7D" w:rsidRPr="008F2979" w:rsidRDefault="007F1D7D" w:rsidP="00304825">
            <w:pPr>
              <w:pStyle w:val="BodyText"/>
              <w:spacing w:before="0" w:after="0"/>
              <w:jc w:val="left"/>
              <w:rPr>
                <w:rFonts w:ascii="Times New Roman" w:hAnsi="Times New Roman" w:cs="Times New Roman"/>
                <w:bCs/>
                <w:sz w:val="22"/>
                <w:szCs w:val="22"/>
              </w:rPr>
            </w:pPr>
            <w:r w:rsidRPr="008F2979">
              <w:rPr>
                <w:rFonts w:ascii="Times New Roman" w:hAnsi="Times New Roman" w:cs="Times New Roman"/>
                <w:bCs/>
                <w:sz w:val="22"/>
                <w:szCs w:val="22"/>
              </w:rPr>
              <w:t xml:space="preserve">-Expert en sauvegarde sociale </w:t>
            </w:r>
          </w:p>
          <w:p w14:paraId="78CA37CA" w14:textId="77777777" w:rsidR="007F1D7D" w:rsidRPr="008F2979" w:rsidRDefault="007F1D7D" w:rsidP="00304825">
            <w:pPr>
              <w:pStyle w:val="BodyText"/>
              <w:spacing w:before="0" w:after="0"/>
              <w:jc w:val="left"/>
              <w:rPr>
                <w:rFonts w:ascii="Times New Roman" w:hAnsi="Times New Roman" w:cs="Times New Roman"/>
                <w:bCs/>
                <w:sz w:val="22"/>
                <w:szCs w:val="22"/>
              </w:rPr>
            </w:pPr>
          </w:p>
          <w:p w14:paraId="00CB26F7" w14:textId="77777777" w:rsidR="007F1D7D" w:rsidRPr="008F2979" w:rsidRDefault="007F1D7D" w:rsidP="00304825">
            <w:pPr>
              <w:pStyle w:val="BodyText"/>
              <w:spacing w:before="0" w:after="0"/>
              <w:jc w:val="left"/>
              <w:rPr>
                <w:rFonts w:ascii="Times New Roman" w:hAnsi="Times New Roman" w:cs="Times New Roman"/>
                <w:bCs/>
                <w:sz w:val="22"/>
                <w:szCs w:val="22"/>
              </w:rPr>
            </w:pPr>
            <w:r w:rsidRPr="008F2979">
              <w:rPr>
                <w:rFonts w:ascii="Times New Roman" w:hAnsi="Times New Roman" w:cs="Times New Roman"/>
                <w:bCs/>
                <w:sz w:val="22"/>
                <w:szCs w:val="22"/>
              </w:rPr>
              <w:t>-</w:t>
            </w:r>
            <w:r w:rsidRPr="008F2979">
              <w:rPr>
                <w:rFonts w:ascii="Times New Roman" w:hAnsi="Times New Roman" w:cs="Times New Roman"/>
                <w:sz w:val="22"/>
                <w:szCs w:val="22"/>
              </w:rPr>
              <w:t>ONG et les Conseils de Collectivités</w:t>
            </w:r>
          </w:p>
          <w:p w14:paraId="0CA27879" w14:textId="77777777" w:rsidR="007F1D7D" w:rsidRPr="007F20ED" w:rsidRDefault="007F1D7D" w:rsidP="00304825">
            <w:pPr>
              <w:pStyle w:val="BodyText"/>
              <w:spacing w:before="0" w:after="0"/>
              <w:jc w:val="left"/>
              <w:rPr>
                <w:rFonts w:ascii="Times New Roman" w:hAnsi="Times New Roman" w:cs="Times New Roman"/>
                <w:bCs/>
                <w:color w:val="FF0000"/>
                <w:sz w:val="22"/>
                <w:szCs w:val="22"/>
              </w:rPr>
            </w:pPr>
          </w:p>
        </w:tc>
        <w:tc>
          <w:tcPr>
            <w:tcW w:w="1711" w:type="dxa"/>
          </w:tcPr>
          <w:p w14:paraId="4FF469E9" w14:textId="77777777" w:rsidR="007F1D7D" w:rsidRDefault="007F1D7D" w:rsidP="00304825">
            <w:pPr>
              <w:pStyle w:val="BodyText"/>
              <w:spacing w:before="0" w:after="0"/>
              <w:jc w:val="left"/>
              <w:rPr>
                <w:rFonts w:ascii="Times New Roman" w:hAnsi="Times New Roman" w:cs="Times New Roman"/>
                <w:sz w:val="22"/>
                <w:szCs w:val="22"/>
              </w:rPr>
            </w:pPr>
            <w:r w:rsidRPr="008F2979">
              <w:rPr>
                <w:rFonts w:ascii="Times New Roman" w:hAnsi="Times New Roman" w:cs="Times New Roman"/>
                <w:sz w:val="22"/>
                <w:szCs w:val="22"/>
              </w:rPr>
              <w:t xml:space="preserve">Avant le début des </w:t>
            </w:r>
            <w:r>
              <w:rPr>
                <w:rFonts w:ascii="Times New Roman" w:hAnsi="Times New Roman" w:cs="Times New Roman"/>
                <w:sz w:val="22"/>
                <w:szCs w:val="22"/>
              </w:rPr>
              <w:t xml:space="preserve">activités </w:t>
            </w:r>
            <w:r w:rsidRPr="008F2979">
              <w:rPr>
                <w:rFonts w:ascii="Times New Roman" w:hAnsi="Times New Roman" w:cs="Times New Roman"/>
                <w:sz w:val="22"/>
                <w:szCs w:val="22"/>
              </w:rPr>
              <w:t>et pendant la mise en œuvre du Projet.</w:t>
            </w:r>
          </w:p>
          <w:p w14:paraId="6E8FFE93" w14:textId="77777777" w:rsidR="007F1D7D" w:rsidRDefault="007F1D7D" w:rsidP="00304825">
            <w:pPr>
              <w:pStyle w:val="BodyText"/>
              <w:spacing w:before="0" w:after="0"/>
              <w:jc w:val="left"/>
              <w:rPr>
                <w:rFonts w:ascii="Times New Roman" w:hAnsi="Times New Roman" w:cs="Times New Roman"/>
                <w:sz w:val="22"/>
                <w:szCs w:val="22"/>
              </w:rPr>
            </w:pPr>
          </w:p>
          <w:p w14:paraId="2526375A" w14:textId="77777777" w:rsidR="007F1D7D" w:rsidRPr="00182CF1" w:rsidRDefault="007F1D7D" w:rsidP="00304825">
            <w:pPr>
              <w:pStyle w:val="BodyText"/>
              <w:spacing w:before="0" w:after="0"/>
              <w:jc w:val="left"/>
              <w:rPr>
                <w:rFonts w:ascii="Times New Roman" w:hAnsi="Times New Roman" w:cs="Times New Roman"/>
                <w:bCs/>
                <w:i/>
                <w:iCs/>
                <w:color w:val="FF0000"/>
                <w:sz w:val="22"/>
                <w:szCs w:val="22"/>
              </w:rPr>
            </w:pPr>
            <w:r w:rsidRPr="00182CF1">
              <w:rPr>
                <w:rFonts w:ascii="Times New Roman" w:hAnsi="Times New Roman" w:cs="Times New Roman"/>
                <w:i/>
                <w:iCs/>
                <w:sz w:val="22"/>
                <w:szCs w:val="22"/>
              </w:rPr>
              <w:t xml:space="preserve">Il est </w:t>
            </w:r>
            <w:r w:rsidRPr="0050235A">
              <w:rPr>
                <w:rFonts w:ascii="Times New Roman" w:hAnsi="Times New Roman" w:cs="Times New Roman"/>
                <w:i/>
                <w:iCs/>
                <w:sz w:val="22"/>
                <w:szCs w:val="22"/>
              </w:rPr>
              <w:t>à</w:t>
            </w:r>
            <w:r w:rsidRPr="00182CF1">
              <w:rPr>
                <w:rFonts w:ascii="Times New Roman" w:hAnsi="Times New Roman" w:cs="Times New Roman"/>
                <w:i/>
                <w:iCs/>
                <w:sz w:val="22"/>
                <w:szCs w:val="22"/>
              </w:rPr>
              <w:t xml:space="preserve"> noter qu’avant le démarrage des activités des réunions avec les comit</w:t>
            </w:r>
            <w:r>
              <w:rPr>
                <w:rFonts w:ascii="Times New Roman" w:hAnsi="Times New Roman" w:cs="Times New Roman"/>
                <w:i/>
                <w:iCs/>
                <w:sz w:val="22"/>
                <w:szCs w:val="22"/>
              </w:rPr>
              <w:t>é</w:t>
            </w:r>
            <w:r w:rsidRPr="00182CF1">
              <w:rPr>
                <w:rFonts w:ascii="Times New Roman" w:hAnsi="Times New Roman" w:cs="Times New Roman"/>
                <w:i/>
                <w:iCs/>
                <w:sz w:val="22"/>
                <w:szCs w:val="22"/>
              </w:rPr>
              <w:t xml:space="preserve">s de gestion des Espaces </w:t>
            </w:r>
            <w:r>
              <w:rPr>
                <w:rFonts w:ascii="Times New Roman" w:hAnsi="Times New Roman" w:cs="Times New Roman"/>
                <w:i/>
                <w:iCs/>
                <w:sz w:val="22"/>
                <w:szCs w:val="22"/>
              </w:rPr>
              <w:t>S</w:t>
            </w:r>
            <w:r w:rsidRPr="00182CF1">
              <w:rPr>
                <w:rFonts w:ascii="Times New Roman" w:hAnsi="Times New Roman" w:cs="Times New Roman"/>
                <w:i/>
                <w:iCs/>
                <w:sz w:val="22"/>
                <w:szCs w:val="22"/>
              </w:rPr>
              <w:t>urs auront lieu pour les parler des</w:t>
            </w:r>
            <w:r>
              <w:rPr>
                <w:rFonts w:ascii="Times New Roman" w:hAnsi="Times New Roman" w:cs="Times New Roman"/>
                <w:i/>
                <w:iCs/>
                <w:sz w:val="22"/>
                <w:szCs w:val="22"/>
              </w:rPr>
              <w:t xml:space="preserve"> objectifs du projet et les</w:t>
            </w:r>
            <w:r w:rsidRPr="00182CF1">
              <w:rPr>
                <w:rFonts w:ascii="Times New Roman" w:hAnsi="Times New Roman" w:cs="Times New Roman"/>
                <w:i/>
                <w:iCs/>
                <w:sz w:val="22"/>
                <w:szCs w:val="22"/>
              </w:rPr>
              <w:t xml:space="preserve"> règles de conduites</w:t>
            </w:r>
          </w:p>
        </w:tc>
        <w:tc>
          <w:tcPr>
            <w:tcW w:w="2261" w:type="dxa"/>
            <w:shd w:val="clear" w:color="auto" w:fill="FFFFFF" w:themeFill="background1"/>
          </w:tcPr>
          <w:p w14:paraId="46264B8A" w14:textId="77777777" w:rsidR="007F1D7D" w:rsidRPr="00C94BAA" w:rsidRDefault="007F1D7D" w:rsidP="007F1D7D">
            <w:pPr>
              <w:pStyle w:val="ListParagraph"/>
              <w:numPr>
                <w:ilvl w:val="0"/>
                <w:numId w:val="34"/>
              </w:numPr>
              <w:autoSpaceDE w:val="0"/>
              <w:autoSpaceDN w:val="0"/>
              <w:adjustRightInd w:val="0"/>
              <w:spacing w:after="120" w:line="240" w:lineRule="auto"/>
              <w:ind w:left="321" w:hanging="270"/>
              <w:contextualSpacing w:val="0"/>
              <w:rPr>
                <w:rFonts w:ascii="Times New Roman" w:eastAsia="MS Mincho" w:hAnsi="Times New Roman" w:cs="Times New Roman"/>
                <w:b/>
              </w:rPr>
            </w:pPr>
            <w:r w:rsidRPr="00C94BAA">
              <w:rPr>
                <w:rFonts w:ascii="Times New Roman" w:eastAsia="MS Mincho" w:hAnsi="Times New Roman" w:cs="Times New Roman"/>
                <w:b/>
              </w:rPr>
              <w:t>Plan de redevabilité et réponse :</w:t>
            </w:r>
          </w:p>
          <w:p w14:paraId="462CD0CA" w14:textId="77777777" w:rsidR="007F1D7D" w:rsidRPr="00C94BAA" w:rsidRDefault="007F1D7D" w:rsidP="00304825">
            <w:pPr>
              <w:pStyle w:val="BodyText"/>
              <w:spacing w:before="0" w:after="0"/>
              <w:jc w:val="left"/>
              <w:rPr>
                <w:rFonts w:ascii="Times New Roman" w:hAnsi="Times New Roman" w:cs="Times New Roman"/>
                <w:b/>
                <w:bCs/>
                <w:sz w:val="22"/>
                <w:szCs w:val="22"/>
              </w:rPr>
            </w:pPr>
            <w:r w:rsidRPr="00C94BAA">
              <w:rPr>
                <w:rFonts w:ascii="Times New Roman" w:hAnsi="Times New Roman" w:cs="Times New Roman"/>
                <w:bCs/>
                <w:sz w:val="22"/>
                <w:szCs w:val="22"/>
              </w:rPr>
              <w:t>% des travailleurs et du personnel du projet qui ont signé les codes de conduite</w:t>
            </w:r>
          </w:p>
          <w:p w14:paraId="40529F30" w14:textId="77777777" w:rsidR="007F1D7D" w:rsidRPr="00C94BAA" w:rsidRDefault="007F1D7D" w:rsidP="00304825">
            <w:pPr>
              <w:pStyle w:val="BodyText"/>
              <w:spacing w:before="0" w:after="0"/>
              <w:jc w:val="left"/>
              <w:rPr>
                <w:rFonts w:ascii="Times New Roman" w:hAnsi="Times New Roman" w:cs="Times New Roman"/>
                <w:bCs/>
                <w:sz w:val="22"/>
                <w:szCs w:val="22"/>
              </w:rPr>
            </w:pPr>
          </w:p>
          <w:p w14:paraId="3CB1CB0E" w14:textId="77777777" w:rsidR="007F1D7D" w:rsidRPr="00C94BAA" w:rsidRDefault="007F1D7D" w:rsidP="00304825">
            <w:pPr>
              <w:pStyle w:val="BodyText"/>
              <w:spacing w:before="0" w:after="0"/>
              <w:jc w:val="left"/>
              <w:rPr>
                <w:rFonts w:ascii="Times New Roman" w:hAnsi="Times New Roman" w:cs="Times New Roman"/>
                <w:bCs/>
                <w:sz w:val="22"/>
                <w:szCs w:val="22"/>
              </w:rPr>
            </w:pPr>
            <w:r w:rsidRPr="00C94BAA">
              <w:rPr>
                <w:rFonts w:ascii="Times New Roman" w:hAnsi="Times New Roman" w:cs="Times New Roman"/>
                <w:bCs/>
                <w:sz w:val="22"/>
                <w:szCs w:val="22"/>
              </w:rPr>
              <w:t>Nombre de plaintes liées à l’EAS/HS qui sont reçues à travers le MGP</w:t>
            </w:r>
            <w:r w:rsidRPr="00C94BAA">
              <w:rPr>
                <w:rStyle w:val="FootnoteReference"/>
                <w:rFonts w:ascii="Times New Roman" w:hAnsi="Times New Roman" w:cs="Times New Roman"/>
                <w:bCs/>
                <w:sz w:val="22"/>
                <w:szCs w:val="22"/>
              </w:rPr>
              <w:footnoteReference w:id="52"/>
            </w:r>
          </w:p>
          <w:p w14:paraId="0BC7B108" w14:textId="77777777" w:rsidR="007F1D7D" w:rsidRPr="00C94BAA" w:rsidRDefault="007F1D7D" w:rsidP="00304825">
            <w:pPr>
              <w:pStyle w:val="BodyText"/>
              <w:spacing w:before="0" w:after="0"/>
              <w:jc w:val="left"/>
              <w:rPr>
                <w:rFonts w:ascii="Times New Roman" w:hAnsi="Times New Roman" w:cs="Times New Roman"/>
                <w:bCs/>
                <w:sz w:val="22"/>
                <w:szCs w:val="22"/>
              </w:rPr>
            </w:pPr>
          </w:p>
          <w:p w14:paraId="06DF2453" w14:textId="77777777" w:rsidR="007F1D7D" w:rsidRPr="00C94BAA" w:rsidRDefault="007F1D7D" w:rsidP="00304825">
            <w:pPr>
              <w:pStyle w:val="BodyText"/>
              <w:spacing w:before="0" w:after="0"/>
              <w:jc w:val="left"/>
              <w:rPr>
                <w:rFonts w:ascii="Times New Roman" w:hAnsi="Times New Roman" w:cs="Times New Roman"/>
                <w:bCs/>
                <w:sz w:val="22"/>
                <w:szCs w:val="22"/>
              </w:rPr>
            </w:pPr>
            <w:r w:rsidRPr="00C94BAA">
              <w:rPr>
                <w:rFonts w:ascii="Times New Roman" w:hAnsi="Times New Roman" w:cs="Times New Roman"/>
                <w:bCs/>
                <w:sz w:val="22"/>
                <w:szCs w:val="22"/>
              </w:rPr>
              <w:t>% des plaintes liées à l’EAS/HS qui sont référées aux services</w:t>
            </w:r>
          </w:p>
          <w:p w14:paraId="39814245" w14:textId="77777777" w:rsidR="007F1D7D" w:rsidRPr="00C94BAA" w:rsidRDefault="007F1D7D" w:rsidP="00304825">
            <w:pPr>
              <w:pStyle w:val="BodyText"/>
              <w:spacing w:before="0" w:after="0"/>
              <w:jc w:val="left"/>
              <w:rPr>
                <w:rFonts w:ascii="Times New Roman" w:hAnsi="Times New Roman" w:cs="Times New Roman"/>
                <w:bCs/>
                <w:sz w:val="22"/>
                <w:szCs w:val="22"/>
              </w:rPr>
            </w:pPr>
          </w:p>
          <w:p w14:paraId="2ED81ACC" w14:textId="77777777" w:rsidR="007F1D7D" w:rsidRPr="00C94BAA" w:rsidRDefault="007F1D7D" w:rsidP="00304825">
            <w:pPr>
              <w:pStyle w:val="BodyText"/>
              <w:spacing w:before="0" w:after="0"/>
              <w:jc w:val="left"/>
              <w:rPr>
                <w:rFonts w:ascii="Times New Roman" w:hAnsi="Times New Roman" w:cs="Times New Roman"/>
                <w:bCs/>
                <w:sz w:val="22"/>
                <w:szCs w:val="22"/>
              </w:rPr>
            </w:pPr>
            <w:r w:rsidRPr="00C94BAA">
              <w:rPr>
                <w:rFonts w:ascii="Times New Roman" w:hAnsi="Times New Roman" w:cs="Times New Roman"/>
                <w:bCs/>
                <w:sz w:val="22"/>
                <w:szCs w:val="22"/>
              </w:rPr>
              <w:t>% des plaintes liées à l’EAS/HS qui sont résolues dans le délai prévu</w:t>
            </w:r>
          </w:p>
          <w:p w14:paraId="3388D3C2" w14:textId="77777777" w:rsidR="007F1D7D" w:rsidRPr="00C94BAA" w:rsidRDefault="007F1D7D" w:rsidP="00304825">
            <w:pPr>
              <w:pStyle w:val="BodyText"/>
              <w:spacing w:before="0" w:after="0"/>
              <w:jc w:val="left"/>
              <w:rPr>
                <w:rFonts w:ascii="Times New Roman" w:hAnsi="Times New Roman" w:cs="Times New Roman"/>
                <w:bCs/>
                <w:sz w:val="22"/>
                <w:szCs w:val="22"/>
              </w:rPr>
            </w:pPr>
          </w:p>
          <w:p w14:paraId="2330968A" w14:textId="77777777" w:rsidR="007F1D7D" w:rsidRPr="00C94BAA" w:rsidRDefault="007F1D7D" w:rsidP="00304825">
            <w:pPr>
              <w:pStyle w:val="BodyText"/>
              <w:spacing w:before="0" w:after="0"/>
              <w:jc w:val="left"/>
              <w:rPr>
                <w:rFonts w:ascii="Times New Roman" w:hAnsi="Times New Roman" w:cs="Times New Roman"/>
                <w:bCs/>
                <w:sz w:val="22"/>
                <w:szCs w:val="22"/>
              </w:rPr>
            </w:pPr>
            <w:r w:rsidRPr="00C94BAA">
              <w:rPr>
                <w:rFonts w:ascii="Times New Roman" w:hAnsi="Times New Roman" w:cs="Times New Roman"/>
                <w:bCs/>
                <w:sz w:val="22"/>
                <w:szCs w:val="22"/>
              </w:rPr>
              <w:lastRenderedPageBreak/>
              <w:t>Moyen du délai pour résoudre une plainte liée à l’EAS/HS</w:t>
            </w:r>
          </w:p>
          <w:p w14:paraId="1A0BF68A" w14:textId="77777777" w:rsidR="007F1D7D" w:rsidRPr="00C94BAA" w:rsidRDefault="007F1D7D" w:rsidP="00304825">
            <w:pPr>
              <w:pStyle w:val="BodyText"/>
              <w:spacing w:before="0" w:after="0"/>
              <w:jc w:val="left"/>
              <w:rPr>
                <w:rFonts w:ascii="Times New Roman" w:hAnsi="Times New Roman" w:cs="Times New Roman"/>
                <w:bCs/>
                <w:sz w:val="22"/>
                <w:szCs w:val="22"/>
              </w:rPr>
            </w:pPr>
          </w:p>
          <w:p w14:paraId="57FDCDC5" w14:textId="77777777" w:rsidR="007F1D7D" w:rsidRPr="00C94BAA" w:rsidRDefault="007F1D7D" w:rsidP="00304825">
            <w:pPr>
              <w:pStyle w:val="BodyText"/>
              <w:spacing w:before="0" w:after="0"/>
              <w:jc w:val="left"/>
              <w:rPr>
                <w:rFonts w:ascii="Times New Roman" w:hAnsi="Times New Roman" w:cs="Times New Roman"/>
                <w:bCs/>
                <w:sz w:val="22"/>
                <w:szCs w:val="22"/>
              </w:rPr>
            </w:pPr>
          </w:p>
          <w:p w14:paraId="3ECBDCE7" w14:textId="77777777" w:rsidR="007F1D7D" w:rsidRPr="00C94BAA" w:rsidRDefault="007F1D7D" w:rsidP="00304825">
            <w:pPr>
              <w:pStyle w:val="BodyText"/>
              <w:spacing w:before="0" w:after="0"/>
              <w:jc w:val="left"/>
              <w:rPr>
                <w:rFonts w:ascii="Times New Roman" w:hAnsi="Times New Roman" w:cs="Times New Roman"/>
                <w:bCs/>
                <w:sz w:val="22"/>
                <w:szCs w:val="22"/>
              </w:rPr>
            </w:pPr>
          </w:p>
          <w:p w14:paraId="2DE657B2" w14:textId="77777777" w:rsidR="007F1D7D" w:rsidRPr="00C94BAA" w:rsidRDefault="007F1D7D" w:rsidP="00304825">
            <w:pPr>
              <w:pStyle w:val="BodyText"/>
              <w:spacing w:before="0" w:after="0"/>
              <w:jc w:val="left"/>
              <w:rPr>
                <w:rFonts w:ascii="Times New Roman" w:hAnsi="Times New Roman" w:cs="Times New Roman"/>
                <w:bCs/>
                <w:sz w:val="22"/>
                <w:szCs w:val="22"/>
              </w:rPr>
            </w:pPr>
          </w:p>
          <w:p w14:paraId="78BF0FF7" w14:textId="77777777" w:rsidR="007F1D7D" w:rsidRPr="00C94BAA" w:rsidRDefault="007F1D7D" w:rsidP="00304825">
            <w:pPr>
              <w:pStyle w:val="BodyText"/>
              <w:spacing w:before="0" w:after="0"/>
              <w:jc w:val="left"/>
              <w:rPr>
                <w:rFonts w:ascii="Times New Roman" w:hAnsi="Times New Roman" w:cs="Times New Roman"/>
                <w:bCs/>
                <w:sz w:val="22"/>
                <w:szCs w:val="22"/>
              </w:rPr>
            </w:pPr>
          </w:p>
          <w:p w14:paraId="54D481CC" w14:textId="77777777" w:rsidR="007F1D7D" w:rsidRPr="00C94BAA" w:rsidRDefault="007F1D7D" w:rsidP="00304825">
            <w:pPr>
              <w:pStyle w:val="BodyText"/>
              <w:spacing w:before="0" w:after="0"/>
              <w:jc w:val="left"/>
              <w:rPr>
                <w:rFonts w:ascii="Times New Roman" w:hAnsi="Times New Roman" w:cs="Times New Roman"/>
                <w:bCs/>
                <w:sz w:val="22"/>
                <w:szCs w:val="22"/>
              </w:rPr>
            </w:pPr>
          </w:p>
          <w:p w14:paraId="77844DBE" w14:textId="77777777" w:rsidR="007F1D7D" w:rsidRPr="00C94BAA" w:rsidRDefault="007F1D7D" w:rsidP="00304825">
            <w:pPr>
              <w:pStyle w:val="BodyText"/>
              <w:spacing w:before="0" w:after="0"/>
              <w:jc w:val="left"/>
              <w:rPr>
                <w:rFonts w:ascii="Times New Roman" w:hAnsi="Times New Roman" w:cs="Times New Roman"/>
                <w:bCs/>
                <w:sz w:val="22"/>
                <w:szCs w:val="22"/>
              </w:rPr>
            </w:pPr>
          </w:p>
          <w:p w14:paraId="29A75BAD" w14:textId="77777777" w:rsidR="007F1D7D" w:rsidRPr="00C94BAA" w:rsidRDefault="007F1D7D" w:rsidP="00304825">
            <w:pPr>
              <w:pStyle w:val="BodyText"/>
              <w:spacing w:before="0" w:after="0"/>
              <w:jc w:val="left"/>
              <w:rPr>
                <w:rFonts w:ascii="Times New Roman" w:hAnsi="Times New Roman" w:cs="Times New Roman"/>
                <w:bCs/>
                <w:sz w:val="22"/>
                <w:szCs w:val="22"/>
              </w:rPr>
            </w:pPr>
          </w:p>
          <w:p w14:paraId="1474B3D2" w14:textId="77777777" w:rsidR="007F1D7D" w:rsidRPr="00C94BAA" w:rsidRDefault="007F1D7D" w:rsidP="00304825">
            <w:pPr>
              <w:pStyle w:val="BodyText"/>
              <w:spacing w:before="0" w:after="0"/>
              <w:jc w:val="left"/>
              <w:rPr>
                <w:rFonts w:ascii="Times New Roman" w:hAnsi="Times New Roman" w:cs="Times New Roman"/>
                <w:bCs/>
                <w:sz w:val="22"/>
                <w:szCs w:val="22"/>
              </w:rPr>
            </w:pPr>
          </w:p>
          <w:p w14:paraId="5C234D10" w14:textId="77777777" w:rsidR="007F1D7D" w:rsidRPr="00C94BAA" w:rsidRDefault="007F1D7D" w:rsidP="00304825">
            <w:pPr>
              <w:pStyle w:val="BodyText"/>
              <w:spacing w:before="0" w:after="0"/>
              <w:jc w:val="left"/>
              <w:rPr>
                <w:rFonts w:ascii="Times New Roman" w:hAnsi="Times New Roman" w:cs="Times New Roman"/>
                <w:bCs/>
                <w:sz w:val="22"/>
                <w:szCs w:val="22"/>
              </w:rPr>
            </w:pPr>
          </w:p>
          <w:p w14:paraId="51504D7B" w14:textId="77777777" w:rsidR="007F1D7D" w:rsidRPr="00C94BAA" w:rsidRDefault="007F1D7D" w:rsidP="00304825">
            <w:pPr>
              <w:pStyle w:val="BodyText"/>
              <w:spacing w:before="0" w:after="0"/>
              <w:jc w:val="left"/>
              <w:rPr>
                <w:rFonts w:ascii="Times New Roman" w:hAnsi="Times New Roman" w:cs="Times New Roman"/>
                <w:bCs/>
                <w:sz w:val="22"/>
                <w:szCs w:val="22"/>
              </w:rPr>
            </w:pPr>
          </w:p>
          <w:p w14:paraId="10B94C64" w14:textId="77777777" w:rsidR="007F1D7D" w:rsidRPr="00C94BAA" w:rsidRDefault="007F1D7D" w:rsidP="00304825">
            <w:pPr>
              <w:pStyle w:val="BodyText"/>
              <w:spacing w:before="0" w:after="0"/>
              <w:jc w:val="left"/>
              <w:rPr>
                <w:rFonts w:ascii="Times New Roman" w:hAnsi="Times New Roman" w:cs="Times New Roman"/>
                <w:bCs/>
                <w:sz w:val="22"/>
                <w:szCs w:val="22"/>
              </w:rPr>
            </w:pPr>
          </w:p>
          <w:p w14:paraId="2FB4509A" w14:textId="77777777" w:rsidR="007F1D7D" w:rsidRPr="00C94BAA" w:rsidRDefault="007F1D7D" w:rsidP="00304825">
            <w:pPr>
              <w:pStyle w:val="BodyText"/>
              <w:spacing w:before="0" w:after="0"/>
              <w:jc w:val="left"/>
              <w:rPr>
                <w:rFonts w:ascii="Times New Roman" w:hAnsi="Times New Roman" w:cs="Times New Roman"/>
                <w:bCs/>
                <w:sz w:val="22"/>
                <w:szCs w:val="22"/>
              </w:rPr>
            </w:pPr>
          </w:p>
          <w:p w14:paraId="3384E73B" w14:textId="77777777" w:rsidR="007F1D7D" w:rsidRPr="00C94BAA" w:rsidRDefault="007F1D7D" w:rsidP="00304825">
            <w:pPr>
              <w:pStyle w:val="BodyText"/>
              <w:spacing w:before="0" w:after="0"/>
              <w:jc w:val="left"/>
              <w:rPr>
                <w:rFonts w:ascii="Times New Roman" w:hAnsi="Times New Roman" w:cs="Times New Roman"/>
                <w:bCs/>
                <w:sz w:val="22"/>
                <w:szCs w:val="22"/>
              </w:rPr>
            </w:pPr>
          </w:p>
          <w:p w14:paraId="0CA7A09F" w14:textId="77777777" w:rsidR="007F1D7D" w:rsidRPr="00C94BAA" w:rsidRDefault="007F1D7D" w:rsidP="00304825">
            <w:pPr>
              <w:pStyle w:val="BodyText"/>
              <w:spacing w:before="0" w:after="0"/>
              <w:jc w:val="left"/>
              <w:rPr>
                <w:rFonts w:ascii="Times New Roman" w:hAnsi="Times New Roman" w:cs="Times New Roman"/>
                <w:bCs/>
                <w:sz w:val="22"/>
                <w:szCs w:val="22"/>
              </w:rPr>
            </w:pPr>
          </w:p>
          <w:p w14:paraId="15C9B39B" w14:textId="77777777" w:rsidR="007F1D7D" w:rsidRPr="00C94BAA" w:rsidRDefault="007F1D7D" w:rsidP="00304825">
            <w:pPr>
              <w:pStyle w:val="BodyText"/>
              <w:spacing w:before="0" w:after="0"/>
              <w:jc w:val="left"/>
              <w:rPr>
                <w:rFonts w:ascii="Times New Roman" w:hAnsi="Times New Roman" w:cs="Times New Roman"/>
                <w:bCs/>
                <w:sz w:val="22"/>
                <w:szCs w:val="22"/>
              </w:rPr>
            </w:pPr>
          </w:p>
          <w:p w14:paraId="75FBEB7E" w14:textId="77777777" w:rsidR="007F1D7D" w:rsidRPr="00C94BAA" w:rsidRDefault="007F1D7D" w:rsidP="00304825">
            <w:pPr>
              <w:pStyle w:val="BodyText"/>
              <w:spacing w:before="0" w:after="0"/>
              <w:jc w:val="left"/>
              <w:rPr>
                <w:rFonts w:ascii="Times New Roman" w:hAnsi="Times New Roman" w:cs="Times New Roman"/>
                <w:bCs/>
                <w:sz w:val="22"/>
                <w:szCs w:val="22"/>
              </w:rPr>
            </w:pPr>
          </w:p>
          <w:p w14:paraId="5C8624BA" w14:textId="77777777" w:rsidR="007F1D7D" w:rsidRPr="00C94BAA" w:rsidRDefault="007F1D7D" w:rsidP="00304825">
            <w:pPr>
              <w:pStyle w:val="BodyText"/>
              <w:spacing w:before="0" w:after="0"/>
              <w:jc w:val="left"/>
              <w:rPr>
                <w:rFonts w:ascii="Times New Roman" w:hAnsi="Times New Roman" w:cs="Times New Roman"/>
                <w:bCs/>
                <w:sz w:val="22"/>
                <w:szCs w:val="22"/>
              </w:rPr>
            </w:pPr>
          </w:p>
          <w:p w14:paraId="213BD966" w14:textId="77777777" w:rsidR="007F1D7D" w:rsidRPr="00C94BAA" w:rsidRDefault="007F1D7D" w:rsidP="00304825">
            <w:pPr>
              <w:pStyle w:val="BodyText"/>
              <w:spacing w:before="0" w:after="0"/>
              <w:jc w:val="left"/>
              <w:rPr>
                <w:rFonts w:ascii="Times New Roman" w:hAnsi="Times New Roman" w:cs="Times New Roman"/>
                <w:bCs/>
                <w:sz w:val="22"/>
                <w:szCs w:val="22"/>
              </w:rPr>
            </w:pPr>
          </w:p>
          <w:p w14:paraId="100FF221" w14:textId="77777777" w:rsidR="007F1D7D" w:rsidRPr="00C94BAA" w:rsidRDefault="007F1D7D" w:rsidP="00304825">
            <w:pPr>
              <w:pStyle w:val="BodyText"/>
              <w:spacing w:before="0" w:after="0"/>
              <w:jc w:val="left"/>
              <w:rPr>
                <w:rFonts w:ascii="Times New Roman" w:hAnsi="Times New Roman" w:cs="Times New Roman"/>
                <w:bCs/>
                <w:sz w:val="22"/>
                <w:szCs w:val="22"/>
              </w:rPr>
            </w:pPr>
          </w:p>
          <w:p w14:paraId="4EC887D2" w14:textId="77777777" w:rsidR="007F1D7D" w:rsidRPr="00C94BAA" w:rsidRDefault="007F1D7D" w:rsidP="00304825">
            <w:pPr>
              <w:pStyle w:val="BodyText"/>
              <w:spacing w:before="0" w:after="0"/>
              <w:jc w:val="left"/>
              <w:rPr>
                <w:rFonts w:ascii="Times New Roman" w:hAnsi="Times New Roman" w:cs="Times New Roman"/>
                <w:bCs/>
                <w:sz w:val="22"/>
                <w:szCs w:val="22"/>
              </w:rPr>
            </w:pPr>
          </w:p>
          <w:p w14:paraId="7E0F6717" w14:textId="77777777" w:rsidR="007F1D7D" w:rsidRPr="00C94BAA" w:rsidRDefault="007F1D7D" w:rsidP="00304825">
            <w:pPr>
              <w:pStyle w:val="BodyText"/>
              <w:spacing w:before="0" w:after="0"/>
              <w:jc w:val="left"/>
              <w:rPr>
                <w:rFonts w:ascii="Times New Roman" w:hAnsi="Times New Roman" w:cs="Times New Roman"/>
                <w:bCs/>
                <w:sz w:val="22"/>
                <w:szCs w:val="22"/>
              </w:rPr>
            </w:pPr>
          </w:p>
          <w:p w14:paraId="2FF2DB76" w14:textId="77777777" w:rsidR="007F1D7D" w:rsidRPr="00C94BAA" w:rsidRDefault="007F1D7D" w:rsidP="00304825">
            <w:pPr>
              <w:pStyle w:val="BodyText"/>
              <w:spacing w:before="0" w:after="0"/>
              <w:jc w:val="left"/>
              <w:rPr>
                <w:rFonts w:ascii="Times New Roman" w:hAnsi="Times New Roman" w:cs="Times New Roman"/>
                <w:bCs/>
                <w:sz w:val="22"/>
                <w:szCs w:val="22"/>
              </w:rPr>
            </w:pPr>
          </w:p>
          <w:p w14:paraId="12DA0C52" w14:textId="77777777" w:rsidR="007F1D7D" w:rsidRPr="00C94BAA" w:rsidRDefault="007F1D7D" w:rsidP="00304825">
            <w:pPr>
              <w:pStyle w:val="BodyText"/>
              <w:spacing w:before="0" w:after="0"/>
              <w:jc w:val="left"/>
              <w:rPr>
                <w:rFonts w:ascii="Times New Roman" w:hAnsi="Times New Roman" w:cs="Times New Roman"/>
                <w:bCs/>
                <w:sz w:val="22"/>
                <w:szCs w:val="22"/>
              </w:rPr>
            </w:pPr>
          </w:p>
          <w:p w14:paraId="52176015" w14:textId="77777777" w:rsidR="007F1D7D" w:rsidRPr="00C94BAA" w:rsidRDefault="007F1D7D" w:rsidP="00304825">
            <w:pPr>
              <w:pStyle w:val="BodyText"/>
              <w:spacing w:before="0" w:after="0"/>
              <w:jc w:val="left"/>
              <w:rPr>
                <w:rFonts w:ascii="Times New Roman" w:hAnsi="Times New Roman" w:cs="Times New Roman"/>
                <w:bCs/>
                <w:sz w:val="22"/>
                <w:szCs w:val="22"/>
              </w:rPr>
            </w:pPr>
          </w:p>
          <w:p w14:paraId="65CDEB9B" w14:textId="77777777" w:rsidR="007F1D7D" w:rsidRPr="00C94BAA" w:rsidRDefault="007F1D7D" w:rsidP="00304825">
            <w:pPr>
              <w:pStyle w:val="BodyText"/>
              <w:spacing w:before="0" w:after="0"/>
              <w:jc w:val="left"/>
              <w:rPr>
                <w:rFonts w:ascii="Times New Roman" w:hAnsi="Times New Roman" w:cs="Times New Roman"/>
                <w:bCs/>
                <w:sz w:val="22"/>
                <w:szCs w:val="22"/>
              </w:rPr>
            </w:pPr>
          </w:p>
          <w:p w14:paraId="27D47B51" w14:textId="77777777" w:rsidR="007F1D7D" w:rsidRPr="00C94BAA" w:rsidRDefault="007F1D7D" w:rsidP="00304825">
            <w:pPr>
              <w:pStyle w:val="BodyText"/>
              <w:spacing w:before="0" w:after="0"/>
              <w:jc w:val="left"/>
              <w:rPr>
                <w:rFonts w:ascii="Times New Roman" w:hAnsi="Times New Roman" w:cs="Times New Roman"/>
                <w:bCs/>
                <w:sz w:val="22"/>
                <w:szCs w:val="22"/>
              </w:rPr>
            </w:pPr>
          </w:p>
          <w:p w14:paraId="1D8B9C62" w14:textId="77777777" w:rsidR="007F1D7D" w:rsidRPr="00C94BAA" w:rsidRDefault="007F1D7D" w:rsidP="00304825">
            <w:pPr>
              <w:pStyle w:val="BodyText"/>
              <w:spacing w:before="0" w:after="0"/>
              <w:jc w:val="left"/>
              <w:rPr>
                <w:rFonts w:ascii="Times New Roman" w:hAnsi="Times New Roman" w:cs="Times New Roman"/>
                <w:bCs/>
                <w:sz w:val="22"/>
                <w:szCs w:val="22"/>
              </w:rPr>
            </w:pPr>
          </w:p>
          <w:p w14:paraId="0FFB19CC" w14:textId="77777777" w:rsidR="007F1D7D" w:rsidRPr="00C94BAA" w:rsidRDefault="007F1D7D" w:rsidP="00304825">
            <w:pPr>
              <w:pStyle w:val="BodyText"/>
              <w:spacing w:before="0" w:after="0"/>
              <w:jc w:val="left"/>
              <w:rPr>
                <w:rFonts w:ascii="Times New Roman" w:hAnsi="Times New Roman" w:cs="Times New Roman"/>
                <w:bCs/>
                <w:sz w:val="22"/>
                <w:szCs w:val="22"/>
              </w:rPr>
            </w:pPr>
          </w:p>
          <w:p w14:paraId="2F195172" w14:textId="77777777" w:rsidR="007F1D7D" w:rsidRPr="00C94BAA" w:rsidRDefault="007F1D7D" w:rsidP="00304825">
            <w:pPr>
              <w:pStyle w:val="BodyText"/>
              <w:spacing w:before="0" w:after="0"/>
              <w:jc w:val="left"/>
              <w:rPr>
                <w:rFonts w:ascii="Times New Roman" w:hAnsi="Times New Roman" w:cs="Times New Roman"/>
                <w:bCs/>
                <w:sz w:val="22"/>
                <w:szCs w:val="22"/>
              </w:rPr>
            </w:pPr>
          </w:p>
          <w:p w14:paraId="79564DF0" w14:textId="77777777" w:rsidR="007F1D7D" w:rsidRPr="00C94BAA" w:rsidRDefault="007F1D7D" w:rsidP="00304825">
            <w:pPr>
              <w:pStyle w:val="BodyText"/>
              <w:spacing w:before="0" w:after="0"/>
              <w:jc w:val="left"/>
              <w:rPr>
                <w:rFonts w:ascii="Times New Roman" w:hAnsi="Times New Roman" w:cs="Times New Roman"/>
                <w:bCs/>
                <w:sz w:val="22"/>
                <w:szCs w:val="22"/>
              </w:rPr>
            </w:pPr>
          </w:p>
          <w:p w14:paraId="7EF8F3FC" w14:textId="77777777" w:rsidR="007F1D7D" w:rsidRPr="00C94BAA" w:rsidRDefault="007F1D7D" w:rsidP="00304825">
            <w:pPr>
              <w:pStyle w:val="BodyText"/>
              <w:spacing w:before="0" w:after="0"/>
              <w:jc w:val="left"/>
              <w:rPr>
                <w:rFonts w:ascii="Times New Roman" w:hAnsi="Times New Roman" w:cs="Times New Roman"/>
                <w:bCs/>
                <w:sz w:val="22"/>
                <w:szCs w:val="22"/>
              </w:rPr>
            </w:pPr>
          </w:p>
          <w:p w14:paraId="2FB4F7DE" w14:textId="77777777" w:rsidR="007F1D7D" w:rsidRPr="00C94BAA" w:rsidRDefault="007F1D7D" w:rsidP="00304825">
            <w:pPr>
              <w:pStyle w:val="BodyText"/>
              <w:spacing w:before="0" w:after="0"/>
              <w:jc w:val="left"/>
              <w:rPr>
                <w:rFonts w:ascii="Times New Roman" w:hAnsi="Times New Roman" w:cs="Times New Roman"/>
                <w:bCs/>
                <w:sz w:val="22"/>
                <w:szCs w:val="22"/>
              </w:rPr>
            </w:pPr>
          </w:p>
          <w:p w14:paraId="4C95DA16" w14:textId="77777777" w:rsidR="007F1D7D" w:rsidRPr="00C94BAA" w:rsidRDefault="007F1D7D" w:rsidP="00304825">
            <w:pPr>
              <w:pStyle w:val="BodyText"/>
              <w:spacing w:before="0" w:after="0"/>
              <w:jc w:val="left"/>
              <w:rPr>
                <w:rFonts w:ascii="Times New Roman" w:hAnsi="Times New Roman" w:cs="Times New Roman"/>
                <w:bCs/>
                <w:sz w:val="22"/>
                <w:szCs w:val="22"/>
              </w:rPr>
            </w:pPr>
          </w:p>
          <w:p w14:paraId="2BDC610D" w14:textId="77777777" w:rsidR="007F1D7D" w:rsidRPr="00C94BAA" w:rsidRDefault="007F1D7D" w:rsidP="00304825">
            <w:pPr>
              <w:pStyle w:val="BodyText"/>
              <w:spacing w:before="0" w:after="0"/>
              <w:jc w:val="left"/>
              <w:rPr>
                <w:rFonts w:ascii="Times New Roman" w:hAnsi="Times New Roman" w:cs="Times New Roman"/>
                <w:bCs/>
                <w:sz w:val="22"/>
                <w:szCs w:val="22"/>
              </w:rPr>
            </w:pPr>
          </w:p>
          <w:p w14:paraId="4083E825" w14:textId="77777777" w:rsidR="007F1D7D" w:rsidRPr="00C94BAA" w:rsidRDefault="007F1D7D" w:rsidP="00304825">
            <w:pPr>
              <w:pStyle w:val="BodyText"/>
              <w:spacing w:before="0" w:after="0"/>
              <w:jc w:val="left"/>
              <w:rPr>
                <w:rFonts w:ascii="Times New Roman" w:hAnsi="Times New Roman" w:cs="Times New Roman"/>
                <w:bCs/>
                <w:sz w:val="22"/>
                <w:szCs w:val="22"/>
              </w:rPr>
            </w:pPr>
          </w:p>
          <w:p w14:paraId="1F6DA4AA" w14:textId="77777777" w:rsidR="007F1D7D" w:rsidRPr="00C94BAA" w:rsidRDefault="007F1D7D" w:rsidP="00304825">
            <w:pPr>
              <w:pStyle w:val="BodyText"/>
              <w:spacing w:before="0" w:after="0"/>
              <w:jc w:val="left"/>
              <w:rPr>
                <w:rFonts w:ascii="Times New Roman" w:hAnsi="Times New Roman" w:cs="Times New Roman"/>
                <w:bCs/>
                <w:sz w:val="22"/>
                <w:szCs w:val="22"/>
              </w:rPr>
            </w:pPr>
          </w:p>
          <w:p w14:paraId="4C52E3B3" w14:textId="77777777" w:rsidR="007F1D7D" w:rsidRPr="00C94BAA" w:rsidRDefault="007F1D7D" w:rsidP="00304825">
            <w:pPr>
              <w:pStyle w:val="BodyText"/>
              <w:spacing w:before="0" w:after="0"/>
              <w:jc w:val="left"/>
              <w:rPr>
                <w:rFonts w:ascii="Times New Roman" w:hAnsi="Times New Roman" w:cs="Times New Roman"/>
                <w:bCs/>
                <w:sz w:val="22"/>
                <w:szCs w:val="22"/>
              </w:rPr>
            </w:pPr>
          </w:p>
          <w:p w14:paraId="22F630FB" w14:textId="77777777" w:rsidR="007F1D7D" w:rsidRPr="00C94BAA" w:rsidRDefault="007F1D7D" w:rsidP="00304825">
            <w:pPr>
              <w:autoSpaceDE w:val="0"/>
              <w:autoSpaceDN w:val="0"/>
              <w:adjustRightInd w:val="0"/>
              <w:spacing w:after="120" w:line="240" w:lineRule="auto"/>
              <w:rPr>
                <w:rFonts w:ascii="Times New Roman" w:eastAsia="MS Mincho" w:hAnsi="Times New Roman" w:cs="Times New Roman"/>
                <w:b/>
              </w:rPr>
            </w:pPr>
          </w:p>
        </w:tc>
        <w:tc>
          <w:tcPr>
            <w:tcW w:w="1479" w:type="dxa"/>
            <w:shd w:val="clear" w:color="auto" w:fill="E7E6E6" w:themeFill="background2"/>
          </w:tcPr>
          <w:p w14:paraId="59C1D6B0" w14:textId="77777777" w:rsidR="007F1D7D" w:rsidRPr="00C94BAA" w:rsidRDefault="007F1D7D" w:rsidP="00304825">
            <w:pPr>
              <w:pStyle w:val="BodyText"/>
              <w:spacing w:before="0" w:after="0"/>
              <w:jc w:val="left"/>
              <w:rPr>
                <w:rFonts w:ascii="Times New Roman" w:hAnsi="Times New Roman" w:cs="Times New Roman"/>
                <w:bCs/>
                <w:sz w:val="22"/>
                <w:szCs w:val="22"/>
              </w:rPr>
            </w:pPr>
            <w:r w:rsidRPr="008F2979">
              <w:rPr>
                <w:rFonts w:ascii="Times New Roman" w:hAnsi="Times New Roman" w:cs="Times New Roman"/>
                <w:bCs/>
                <w:sz w:val="22"/>
                <w:szCs w:val="22"/>
              </w:rPr>
              <w:lastRenderedPageBreak/>
              <w:t>3 000 000 FCFA</w:t>
            </w:r>
          </w:p>
        </w:tc>
      </w:tr>
      <w:tr w:rsidR="007F1D7D" w:rsidRPr="00C94BAA" w14:paraId="216E4A29" w14:textId="77777777" w:rsidTr="00304825">
        <w:tc>
          <w:tcPr>
            <w:tcW w:w="4434" w:type="dxa"/>
          </w:tcPr>
          <w:p w14:paraId="0A26326C" w14:textId="77777777" w:rsidR="007F1D7D" w:rsidRPr="00C94BAA" w:rsidRDefault="007F1D7D" w:rsidP="00304825">
            <w:pPr>
              <w:autoSpaceDE w:val="0"/>
              <w:autoSpaceDN w:val="0"/>
              <w:adjustRightInd w:val="0"/>
              <w:rPr>
                <w:rFonts w:ascii="Times New Roman" w:eastAsia="MS Mincho" w:hAnsi="Times New Roman" w:cs="Times New Roman"/>
                <w:bCs/>
              </w:rPr>
            </w:pPr>
            <w:r w:rsidRPr="00C94BAA">
              <w:rPr>
                <w:rFonts w:ascii="Times New Roman" w:eastAsia="MS Mincho" w:hAnsi="Times New Roman" w:cs="Times New Roman"/>
                <w:bCs/>
              </w:rPr>
              <w:lastRenderedPageBreak/>
              <w:t xml:space="preserve">1c.  </w:t>
            </w:r>
            <w:r w:rsidRPr="00C94BAA">
              <w:rPr>
                <w:rFonts w:ascii="Times New Roman" w:hAnsi="Times New Roman" w:cs="Times New Roman"/>
              </w:rPr>
              <w:t>Risques de VBG si les espaces sûrs ne sont pas établis dans des lieux sûrs choisis avec et pour les femmes et les filles, en concertation avec les membres des communautés qui garantissent l’accès, la confidentialité et la sécurité des femmes et des filles</w:t>
            </w:r>
          </w:p>
          <w:p w14:paraId="76692296" w14:textId="77777777" w:rsidR="007F1D7D" w:rsidRPr="00C94BAA" w:rsidRDefault="007F1D7D" w:rsidP="00304825">
            <w:pPr>
              <w:autoSpaceDE w:val="0"/>
              <w:autoSpaceDN w:val="0"/>
              <w:adjustRightInd w:val="0"/>
              <w:rPr>
                <w:rFonts w:ascii="Times New Roman" w:eastAsia="MS Mincho" w:hAnsi="Times New Roman" w:cs="Times New Roman"/>
                <w:bCs/>
              </w:rPr>
            </w:pPr>
            <w:r w:rsidRPr="00C94BAA">
              <w:rPr>
                <w:rFonts w:ascii="Times New Roman" w:eastAsia="MS Mincho" w:hAnsi="Times New Roman" w:cs="Times New Roman"/>
                <w:bCs/>
              </w:rPr>
              <w:t xml:space="preserve">1d. </w:t>
            </w:r>
            <w:r w:rsidRPr="00C94BAA">
              <w:rPr>
                <w:rFonts w:ascii="Times New Roman" w:hAnsi="Times New Roman" w:cs="Times New Roman"/>
              </w:rPr>
              <w:t xml:space="preserve"> Risques d’accroître ou exacerber les VBG notamment les violences domestiques si les communautés, notamment les époux/pères/frères ne sont pas pleinement engagées et mobilisées dès la conception et la mise en place des espaces sûrs. En outre, si les objectifs et activités d’autonomisation des femmes ne sont pas clairement explicités l’émancipation des femmes et des filles peut effectivement donner lieu à des déséquilibres </w:t>
            </w:r>
            <w:r w:rsidRPr="00C94BAA">
              <w:rPr>
                <w:rFonts w:ascii="Times New Roman" w:hAnsi="Times New Roman" w:cs="Times New Roman"/>
              </w:rPr>
              <w:lastRenderedPageBreak/>
              <w:t>des dynamiques et rôles de genre au sein des ménages, qui sont des facteurs aggravant de violences envers les femmes et les filles.</w:t>
            </w:r>
          </w:p>
          <w:p w14:paraId="3A60CE07" w14:textId="77777777" w:rsidR="007F1D7D" w:rsidRPr="00C94BAA" w:rsidRDefault="007F1D7D" w:rsidP="00304825">
            <w:pPr>
              <w:autoSpaceDE w:val="0"/>
              <w:autoSpaceDN w:val="0"/>
              <w:adjustRightInd w:val="0"/>
              <w:rPr>
                <w:rFonts w:ascii="Times New Roman" w:hAnsi="Times New Roman" w:cs="Times New Roman"/>
              </w:rPr>
            </w:pPr>
            <w:r w:rsidRPr="00C94BAA">
              <w:rPr>
                <w:rFonts w:ascii="Times New Roman" w:hAnsi="Times New Roman" w:cs="Times New Roman"/>
              </w:rPr>
              <w:t>1e. Risques d’assister à des pratiques néfastes et dangereuses pour les survivantes, liés à l’absence de connaissances et compétences sur les VBG et EAS des personnels et équipes des espaces sûrs et de protocoles de référencements des survivantes</w:t>
            </w:r>
          </w:p>
          <w:p w14:paraId="2ECCADFF" w14:textId="77777777" w:rsidR="007F1D7D" w:rsidRPr="00C94BAA" w:rsidRDefault="007F1D7D" w:rsidP="00304825">
            <w:pPr>
              <w:autoSpaceDE w:val="0"/>
              <w:autoSpaceDN w:val="0"/>
              <w:adjustRightInd w:val="0"/>
              <w:rPr>
                <w:rFonts w:ascii="Times New Roman" w:hAnsi="Times New Roman" w:cs="Times New Roman"/>
              </w:rPr>
            </w:pPr>
          </w:p>
          <w:p w14:paraId="7D3BE61A" w14:textId="77777777" w:rsidR="007F1D7D" w:rsidRPr="00C94BAA" w:rsidRDefault="007F1D7D" w:rsidP="00304825">
            <w:pPr>
              <w:autoSpaceDE w:val="0"/>
              <w:autoSpaceDN w:val="0"/>
              <w:adjustRightInd w:val="0"/>
              <w:rPr>
                <w:rFonts w:ascii="Times New Roman" w:hAnsi="Times New Roman" w:cs="Times New Roman"/>
              </w:rPr>
            </w:pPr>
          </w:p>
          <w:p w14:paraId="7DF764CF" w14:textId="77777777" w:rsidR="007F1D7D" w:rsidRPr="00C94BAA" w:rsidRDefault="007F1D7D" w:rsidP="00304825">
            <w:pPr>
              <w:autoSpaceDE w:val="0"/>
              <w:autoSpaceDN w:val="0"/>
              <w:adjustRightInd w:val="0"/>
              <w:rPr>
                <w:rFonts w:ascii="Times New Roman" w:hAnsi="Times New Roman" w:cs="Times New Roman"/>
              </w:rPr>
            </w:pPr>
          </w:p>
          <w:p w14:paraId="16E352A9" w14:textId="77777777" w:rsidR="007F1D7D" w:rsidRPr="00C94BAA" w:rsidRDefault="007F1D7D" w:rsidP="00304825">
            <w:pPr>
              <w:autoSpaceDE w:val="0"/>
              <w:autoSpaceDN w:val="0"/>
              <w:adjustRightInd w:val="0"/>
              <w:rPr>
                <w:rFonts w:ascii="Times New Roman" w:hAnsi="Times New Roman" w:cs="Times New Roman"/>
              </w:rPr>
            </w:pPr>
          </w:p>
          <w:p w14:paraId="29E6E1CE" w14:textId="77777777" w:rsidR="007F1D7D" w:rsidRPr="00C94BAA" w:rsidRDefault="007F1D7D" w:rsidP="00304825">
            <w:pPr>
              <w:autoSpaceDE w:val="0"/>
              <w:autoSpaceDN w:val="0"/>
              <w:adjustRightInd w:val="0"/>
              <w:rPr>
                <w:rFonts w:ascii="Times New Roman" w:hAnsi="Times New Roman" w:cs="Times New Roman"/>
              </w:rPr>
            </w:pPr>
          </w:p>
          <w:p w14:paraId="19716F75" w14:textId="77777777" w:rsidR="007F1D7D" w:rsidRPr="00C94BAA" w:rsidRDefault="007F1D7D" w:rsidP="00304825">
            <w:pPr>
              <w:autoSpaceDE w:val="0"/>
              <w:autoSpaceDN w:val="0"/>
              <w:adjustRightInd w:val="0"/>
              <w:rPr>
                <w:rFonts w:ascii="Times New Roman" w:hAnsi="Times New Roman" w:cs="Times New Roman"/>
              </w:rPr>
            </w:pPr>
          </w:p>
          <w:p w14:paraId="2FCDAA41" w14:textId="77777777" w:rsidR="007F1D7D" w:rsidRPr="00C94BAA" w:rsidRDefault="007F1D7D" w:rsidP="00304825">
            <w:pPr>
              <w:autoSpaceDE w:val="0"/>
              <w:autoSpaceDN w:val="0"/>
              <w:adjustRightInd w:val="0"/>
              <w:rPr>
                <w:rFonts w:ascii="Times New Roman" w:hAnsi="Times New Roman" w:cs="Times New Roman"/>
              </w:rPr>
            </w:pPr>
          </w:p>
          <w:p w14:paraId="000955C9" w14:textId="77777777" w:rsidR="007F1D7D" w:rsidRPr="00C94BAA" w:rsidRDefault="007F1D7D" w:rsidP="00304825">
            <w:pPr>
              <w:autoSpaceDE w:val="0"/>
              <w:autoSpaceDN w:val="0"/>
              <w:adjustRightInd w:val="0"/>
              <w:rPr>
                <w:rFonts w:ascii="Times New Roman" w:hAnsi="Times New Roman" w:cs="Times New Roman"/>
              </w:rPr>
            </w:pPr>
          </w:p>
          <w:p w14:paraId="012CAF27" w14:textId="77777777" w:rsidR="007F1D7D" w:rsidRPr="00C94BAA" w:rsidRDefault="007F1D7D" w:rsidP="00304825">
            <w:pPr>
              <w:autoSpaceDE w:val="0"/>
              <w:autoSpaceDN w:val="0"/>
              <w:adjustRightInd w:val="0"/>
              <w:rPr>
                <w:rFonts w:ascii="Times New Roman" w:hAnsi="Times New Roman" w:cs="Times New Roman"/>
              </w:rPr>
            </w:pPr>
          </w:p>
          <w:p w14:paraId="2A482850" w14:textId="77777777" w:rsidR="007F1D7D" w:rsidRPr="00C94BAA" w:rsidRDefault="007F1D7D" w:rsidP="00304825">
            <w:pPr>
              <w:autoSpaceDE w:val="0"/>
              <w:autoSpaceDN w:val="0"/>
              <w:adjustRightInd w:val="0"/>
              <w:rPr>
                <w:rFonts w:ascii="Times New Roman" w:hAnsi="Times New Roman" w:cs="Times New Roman"/>
              </w:rPr>
            </w:pPr>
          </w:p>
          <w:p w14:paraId="2D3F4E96" w14:textId="77777777" w:rsidR="007F1D7D" w:rsidRPr="00C94BAA" w:rsidRDefault="007F1D7D" w:rsidP="00304825">
            <w:pPr>
              <w:autoSpaceDE w:val="0"/>
              <w:autoSpaceDN w:val="0"/>
              <w:adjustRightInd w:val="0"/>
              <w:rPr>
                <w:rFonts w:ascii="Times New Roman" w:hAnsi="Times New Roman" w:cs="Times New Roman"/>
              </w:rPr>
            </w:pPr>
          </w:p>
          <w:p w14:paraId="70B69E44" w14:textId="77777777" w:rsidR="007F1D7D" w:rsidRPr="00C94BAA" w:rsidRDefault="007F1D7D" w:rsidP="00304825">
            <w:pPr>
              <w:autoSpaceDE w:val="0"/>
              <w:autoSpaceDN w:val="0"/>
              <w:adjustRightInd w:val="0"/>
              <w:rPr>
                <w:rFonts w:ascii="Times New Roman" w:hAnsi="Times New Roman" w:cs="Times New Roman"/>
              </w:rPr>
            </w:pPr>
          </w:p>
          <w:p w14:paraId="70CBB90C" w14:textId="77777777" w:rsidR="007F1D7D" w:rsidRPr="00C94BAA" w:rsidRDefault="007F1D7D" w:rsidP="00304825">
            <w:pPr>
              <w:pStyle w:val="ListParagraph"/>
              <w:autoSpaceDE w:val="0"/>
              <w:autoSpaceDN w:val="0"/>
              <w:adjustRightInd w:val="0"/>
              <w:spacing w:after="120" w:line="240" w:lineRule="auto"/>
              <w:ind w:left="0"/>
              <w:contextualSpacing w:val="0"/>
              <w:rPr>
                <w:rFonts w:ascii="Times New Roman" w:eastAsia="MS Mincho" w:hAnsi="Times New Roman" w:cs="Times New Roman"/>
                <w:bCs/>
              </w:rPr>
            </w:pPr>
          </w:p>
        </w:tc>
        <w:tc>
          <w:tcPr>
            <w:tcW w:w="2670" w:type="dxa"/>
          </w:tcPr>
          <w:p w14:paraId="5286E3AA" w14:textId="77777777" w:rsidR="007F1D7D" w:rsidRPr="00C94BAA" w:rsidRDefault="007F1D7D" w:rsidP="00304825">
            <w:pPr>
              <w:pStyle w:val="ListParagraph"/>
              <w:autoSpaceDE w:val="0"/>
              <w:autoSpaceDN w:val="0"/>
              <w:adjustRightInd w:val="0"/>
              <w:spacing w:after="120" w:line="240" w:lineRule="auto"/>
              <w:ind w:left="335"/>
              <w:contextualSpacing w:val="0"/>
              <w:rPr>
                <w:rFonts w:ascii="Times New Roman" w:eastAsia="MS Mincho" w:hAnsi="Times New Roman" w:cs="Times New Roman"/>
                <w:b/>
              </w:rPr>
            </w:pPr>
            <w:r w:rsidRPr="00C94BAA">
              <w:rPr>
                <w:rFonts w:ascii="Times New Roman" w:eastAsia="MS Mincho" w:hAnsi="Times New Roman" w:cs="Times New Roman"/>
                <w:b/>
              </w:rPr>
              <w:lastRenderedPageBreak/>
              <w:t>b. Plan de formation et sensibilisation, incluant :</w:t>
            </w:r>
          </w:p>
          <w:p w14:paraId="1BD8D697" w14:textId="77777777" w:rsidR="007F1D7D" w:rsidRPr="00C94BAA" w:rsidRDefault="007F1D7D" w:rsidP="007F1D7D">
            <w:pPr>
              <w:pStyle w:val="ListParagraph"/>
              <w:numPr>
                <w:ilvl w:val="0"/>
                <w:numId w:val="31"/>
              </w:numPr>
              <w:autoSpaceDE w:val="0"/>
              <w:autoSpaceDN w:val="0"/>
              <w:adjustRightInd w:val="0"/>
              <w:spacing w:after="120" w:line="240" w:lineRule="auto"/>
              <w:ind w:left="335" w:hanging="270"/>
              <w:contextualSpacing w:val="0"/>
              <w:rPr>
                <w:rFonts w:ascii="Times New Roman" w:eastAsia="MS Mincho" w:hAnsi="Times New Roman" w:cs="Times New Roman"/>
                <w:b/>
              </w:rPr>
            </w:pPr>
            <w:r w:rsidRPr="00C94BAA">
              <w:rPr>
                <w:rFonts w:ascii="Times New Roman" w:hAnsi="Times New Roman" w:cs="Times New Roman"/>
                <w:bCs/>
              </w:rPr>
              <w:t>Renforcement d’atouts et formation pour le personnel du projet concernant les risques d’EAS/HS, y compris les codes de conduite et le MGP</w:t>
            </w:r>
          </w:p>
          <w:p w14:paraId="68AD0C8F" w14:textId="77777777" w:rsidR="007F1D7D" w:rsidRPr="00182CF1" w:rsidRDefault="007F1D7D" w:rsidP="007F1D7D">
            <w:pPr>
              <w:pStyle w:val="ListParagraph"/>
              <w:numPr>
                <w:ilvl w:val="0"/>
                <w:numId w:val="31"/>
              </w:numPr>
              <w:autoSpaceDE w:val="0"/>
              <w:autoSpaceDN w:val="0"/>
              <w:adjustRightInd w:val="0"/>
              <w:spacing w:after="120" w:line="240" w:lineRule="auto"/>
              <w:ind w:left="335" w:hanging="270"/>
              <w:contextualSpacing w:val="0"/>
              <w:rPr>
                <w:rFonts w:ascii="Times New Roman" w:eastAsia="MS Mincho" w:hAnsi="Times New Roman" w:cs="Times New Roman"/>
                <w:b/>
              </w:rPr>
            </w:pPr>
            <w:r w:rsidRPr="00C94BAA">
              <w:rPr>
                <w:rFonts w:ascii="Times New Roman" w:eastAsia="MS Mincho" w:hAnsi="Times New Roman" w:cs="Times New Roman"/>
                <w:bCs/>
              </w:rPr>
              <w:t>Formation des équipes des travailleurs et du personnel de supervision sur l’EAS/HS, y compris les codes de conduite et le MGP</w:t>
            </w:r>
          </w:p>
          <w:p w14:paraId="51C7C282" w14:textId="77777777" w:rsidR="007F1D7D" w:rsidRPr="00C94BAA" w:rsidRDefault="007F1D7D" w:rsidP="007F1D7D">
            <w:pPr>
              <w:pStyle w:val="ListParagraph"/>
              <w:numPr>
                <w:ilvl w:val="0"/>
                <w:numId w:val="31"/>
              </w:numPr>
              <w:autoSpaceDE w:val="0"/>
              <w:autoSpaceDN w:val="0"/>
              <w:adjustRightInd w:val="0"/>
              <w:spacing w:after="120" w:line="240" w:lineRule="auto"/>
              <w:ind w:left="335" w:hanging="270"/>
              <w:contextualSpacing w:val="0"/>
              <w:rPr>
                <w:rFonts w:ascii="Times New Roman" w:eastAsia="MS Mincho" w:hAnsi="Times New Roman" w:cs="Times New Roman"/>
                <w:b/>
              </w:rPr>
            </w:pPr>
            <w:r w:rsidRPr="00C94BAA">
              <w:rPr>
                <w:rFonts w:ascii="Times New Roman" w:eastAsia="MS Mincho" w:hAnsi="Times New Roman" w:cs="Times New Roman"/>
                <w:bCs/>
              </w:rPr>
              <w:lastRenderedPageBreak/>
              <w:t xml:space="preserve">Sensibilisation </w:t>
            </w:r>
            <w:r>
              <w:rPr>
                <w:rFonts w:ascii="Times New Roman" w:eastAsia="MS Mincho" w:hAnsi="Times New Roman" w:cs="Times New Roman"/>
                <w:bCs/>
              </w:rPr>
              <w:t xml:space="preserve">communautaire (hommes, </w:t>
            </w:r>
            <w:r w:rsidRPr="00C94BAA">
              <w:rPr>
                <w:rFonts w:ascii="Times New Roman" w:eastAsia="MS Mincho" w:hAnsi="Times New Roman" w:cs="Times New Roman"/>
                <w:bCs/>
              </w:rPr>
              <w:t>jeunes garçons et adolescents</w:t>
            </w:r>
            <w:r>
              <w:rPr>
                <w:rFonts w:ascii="Times New Roman" w:eastAsia="MS Mincho" w:hAnsi="Times New Roman" w:cs="Times New Roman"/>
                <w:bCs/>
              </w:rPr>
              <w:t xml:space="preserve">) afin de réduire les violences domestiques par le biais des biens fondés et bénéfices du projet. </w:t>
            </w:r>
          </w:p>
          <w:p w14:paraId="777DD907" w14:textId="77777777" w:rsidR="007F1D7D" w:rsidRPr="00C94BAA" w:rsidRDefault="007F1D7D" w:rsidP="007F1D7D">
            <w:pPr>
              <w:pStyle w:val="ListParagraph"/>
              <w:numPr>
                <w:ilvl w:val="0"/>
                <w:numId w:val="31"/>
              </w:numPr>
              <w:autoSpaceDE w:val="0"/>
              <w:autoSpaceDN w:val="0"/>
              <w:adjustRightInd w:val="0"/>
              <w:spacing w:after="120" w:line="240" w:lineRule="auto"/>
              <w:ind w:left="335" w:hanging="270"/>
              <w:contextualSpacing w:val="0"/>
              <w:rPr>
                <w:rFonts w:ascii="Times New Roman" w:eastAsia="MS Mincho" w:hAnsi="Times New Roman" w:cs="Times New Roman"/>
                <w:b/>
              </w:rPr>
            </w:pPr>
            <w:r w:rsidRPr="00C94BAA">
              <w:rPr>
                <w:rFonts w:ascii="Times New Roman" w:eastAsia="MS Mincho" w:hAnsi="Times New Roman" w:cs="Times New Roman"/>
                <w:bCs/>
              </w:rPr>
              <w:t>Consultations communautaires avec les bénéficiaires féminins dans des conditions sûres et confidentielles sur l’impact potentiel du projet et de ses activités et les risques y associés</w:t>
            </w:r>
          </w:p>
          <w:p w14:paraId="31FBDFA6" w14:textId="77777777" w:rsidR="007F1D7D" w:rsidRPr="00C94BAA" w:rsidRDefault="007F1D7D" w:rsidP="007F1D7D">
            <w:pPr>
              <w:pStyle w:val="ListParagraph"/>
              <w:numPr>
                <w:ilvl w:val="0"/>
                <w:numId w:val="31"/>
              </w:numPr>
              <w:autoSpaceDE w:val="0"/>
              <w:autoSpaceDN w:val="0"/>
              <w:adjustRightInd w:val="0"/>
              <w:spacing w:after="120" w:line="240" w:lineRule="auto"/>
              <w:ind w:left="335" w:hanging="270"/>
              <w:contextualSpacing w:val="0"/>
              <w:rPr>
                <w:rFonts w:ascii="Times New Roman" w:eastAsia="MS Mincho" w:hAnsi="Times New Roman" w:cs="Times New Roman"/>
                <w:b/>
              </w:rPr>
            </w:pPr>
            <w:r w:rsidRPr="00C94BAA">
              <w:rPr>
                <w:rFonts w:ascii="Times New Roman" w:eastAsia="MS Mincho" w:hAnsi="Times New Roman" w:cs="Times New Roman"/>
                <w:bCs/>
              </w:rPr>
              <w:t>Sensibilisation des communautés ciblées par le projet concernant les risques d’EAS/HS et le MGP pour répondre aux plaintes</w:t>
            </w:r>
          </w:p>
          <w:p w14:paraId="26BFB1C2" w14:textId="77777777" w:rsidR="007F1D7D" w:rsidRPr="00C94BAA" w:rsidRDefault="007F1D7D" w:rsidP="007F1D7D">
            <w:pPr>
              <w:pStyle w:val="ListParagraph"/>
              <w:numPr>
                <w:ilvl w:val="0"/>
                <w:numId w:val="31"/>
              </w:numPr>
              <w:autoSpaceDE w:val="0"/>
              <w:autoSpaceDN w:val="0"/>
              <w:adjustRightInd w:val="0"/>
              <w:spacing w:after="120" w:line="240" w:lineRule="auto"/>
              <w:ind w:left="335" w:hanging="270"/>
              <w:contextualSpacing w:val="0"/>
              <w:rPr>
                <w:rFonts w:ascii="Times New Roman" w:eastAsia="MS Mincho" w:hAnsi="Times New Roman" w:cs="Times New Roman"/>
                <w:b/>
              </w:rPr>
            </w:pPr>
            <w:r w:rsidRPr="00C94BAA">
              <w:rPr>
                <w:rFonts w:ascii="Times New Roman" w:eastAsia="MS Mincho" w:hAnsi="Times New Roman" w:cs="Times New Roman"/>
                <w:bCs/>
              </w:rPr>
              <w:t>Sensibilisation des jeunes garçons et adolescents au sein des Clubs sur les risques d’EAS/HS</w:t>
            </w:r>
          </w:p>
        </w:tc>
        <w:tc>
          <w:tcPr>
            <w:tcW w:w="1752" w:type="dxa"/>
          </w:tcPr>
          <w:p w14:paraId="231319C6" w14:textId="77777777" w:rsidR="007F1D7D" w:rsidRPr="008F2979" w:rsidRDefault="007F1D7D" w:rsidP="00304825">
            <w:pPr>
              <w:pStyle w:val="BodyText"/>
              <w:spacing w:before="0" w:after="0"/>
              <w:jc w:val="left"/>
              <w:rPr>
                <w:rFonts w:ascii="Times New Roman" w:hAnsi="Times New Roman" w:cs="Times New Roman"/>
                <w:bCs/>
                <w:sz w:val="22"/>
                <w:szCs w:val="22"/>
              </w:rPr>
            </w:pPr>
            <w:r w:rsidRPr="007F20ED">
              <w:rPr>
                <w:rFonts w:ascii="Times New Roman" w:hAnsi="Times New Roman" w:cs="Times New Roman"/>
                <w:bCs/>
                <w:color w:val="FF0000"/>
                <w:sz w:val="22"/>
                <w:szCs w:val="22"/>
              </w:rPr>
              <w:lastRenderedPageBreak/>
              <w:t>-</w:t>
            </w:r>
            <w:r w:rsidRPr="008F2979">
              <w:rPr>
                <w:rFonts w:ascii="Times New Roman" w:hAnsi="Times New Roman" w:cs="Times New Roman"/>
                <w:bCs/>
                <w:sz w:val="22"/>
                <w:szCs w:val="22"/>
              </w:rPr>
              <w:t>UCP/</w:t>
            </w:r>
          </w:p>
          <w:p w14:paraId="2ED0808C" w14:textId="77777777" w:rsidR="007F1D7D" w:rsidRPr="008F2979" w:rsidRDefault="007F1D7D" w:rsidP="00304825">
            <w:pPr>
              <w:pStyle w:val="BodyText"/>
              <w:spacing w:before="0" w:after="0"/>
              <w:jc w:val="left"/>
              <w:rPr>
                <w:rFonts w:ascii="Times New Roman" w:hAnsi="Times New Roman" w:cs="Times New Roman"/>
                <w:bCs/>
                <w:sz w:val="22"/>
                <w:szCs w:val="22"/>
              </w:rPr>
            </w:pPr>
            <w:r w:rsidRPr="008F2979">
              <w:rPr>
                <w:rFonts w:ascii="Times New Roman" w:hAnsi="Times New Roman" w:cs="Times New Roman"/>
                <w:bCs/>
                <w:sz w:val="22"/>
                <w:szCs w:val="22"/>
              </w:rPr>
              <w:t>Coordonnateur</w:t>
            </w:r>
          </w:p>
          <w:p w14:paraId="0FE03681" w14:textId="77777777" w:rsidR="007F1D7D" w:rsidRPr="008F2979" w:rsidRDefault="007F1D7D" w:rsidP="00304825">
            <w:pPr>
              <w:pStyle w:val="BodyText"/>
              <w:spacing w:before="0" w:after="0"/>
              <w:jc w:val="left"/>
              <w:rPr>
                <w:rFonts w:ascii="Times New Roman" w:hAnsi="Times New Roman" w:cs="Times New Roman"/>
                <w:bCs/>
                <w:sz w:val="22"/>
                <w:szCs w:val="22"/>
              </w:rPr>
            </w:pPr>
          </w:p>
          <w:p w14:paraId="2797BCD2" w14:textId="77777777" w:rsidR="007F1D7D" w:rsidRPr="008F2979" w:rsidRDefault="007F1D7D" w:rsidP="00304825">
            <w:pPr>
              <w:pStyle w:val="BodyText"/>
              <w:spacing w:before="0" w:after="0"/>
              <w:jc w:val="left"/>
              <w:rPr>
                <w:rFonts w:ascii="Times New Roman" w:hAnsi="Times New Roman" w:cs="Times New Roman"/>
                <w:bCs/>
                <w:sz w:val="22"/>
                <w:szCs w:val="22"/>
              </w:rPr>
            </w:pPr>
            <w:r w:rsidRPr="008F2979">
              <w:rPr>
                <w:rFonts w:ascii="Times New Roman" w:hAnsi="Times New Roman" w:cs="Times New Roman"/>
                <w:bCs/>
                <w:sz w:val="22"/>
                <w:szCs w:val="22"/>
              </w:rPr>
              <w:t xml:space="preserve">-Ministère des affaires sociales </w:t>
            </w:r>
          </w:p>
          <w:p w14:paraId="0333827C" w14:textId="77777777" w:rsidR="007F1D7D" w:rsidRPr="008F2979" w:rsidRDefault="007F1D7D" w:rsidP="00304825">
            <w:pPr>
              <w:pStyle w:val="BodyText"/>
              <w:spacing w:before="0" w:after="0"/>
              <w:jc w:val="left"/>
              <w:rPr>
                <w:rFonts w:ascii="Times New Roman" w:hAnsi="Times New Roman" w:cs="Times New Roman"/>
                <w:bCs/>
                <w:sz w:val="22"/>
                <w:szCs w:val="22"/>
              </w:rPr>
            </w:pPr>
          </w:p>
          <w:p w14:paraId="6A217961" w14:textId="77777777" w:rsidR="007F1D7D" w:rsidRPr="008F2979" w:rsidRDefault="007F1D7D" w:rsidP="00304825">
            <w:pPr>
              <w:pStyle w:val="BodyText"/>
              <w:spacing w:before="0" w:after="0"/>
              <w:jc w:val="left"/>
              <w:rPr>
                <w:rFonts w:ascii="Times New Roman" w:hAnsi="Times New Roman" w:cs="Times New Roman"/>
                <w:bCs/>
                <w:sz w:val="22"/>
                <w:szCs w:val="22"/>
              </w:rPr>
            </w:pPr>
            <w:r w:rsidRPr="008F2979">
              <w:rPr>
                <w:rFonts w:ascii="Times New Roman" w:hAnsi="Times New Roman" w:cs="Times New Roman"/>
                <w:bCs/>
                <w:sz w:val="22"/>
                <w:szCs w:val="22"/>
              </w:rPr>
              <w:t>-Expert en VBG</w:t>
            </w:r>
          </w:p>
          <w:p w14:paraId="213A7022" w14:textId="77777777" w:rsidR="007F1D7D" w:rsidRPr="008F2979" w:rsidRDefault="007F1D7D" w:rsidP="00304825">
            <w:pPr>
              <w:pStyle w:val="BodyText"/>
              <w:spacing w:before="0" w:after="0"/>
              <w:jc w:val="left"/>
              <w:rPr>
                <w:rFonts w:ascii="Times New Roman" w:hAnsi="Times New Roman" w:cs="Times New Roman"/>
                <w:bCs/>
                <w:sz w:val="22"/>
                <w:szCs w:val="22"/>
              </w:rPr>
            </w:pPr>
          </w:p>
          <w:p w14:paraId="59EC966D" w14:textId="77777777" w:rsidR="007F1D7D" w:rsidRPr="008F2979" w:rsidRDefault="007F1D7D" w:rsidP="00304825">
            <w:pPr>
              <w:pStyle w:val="BodyText"/>
              <w:spacing w:before="0" w:after="0"/>
              <w:jc w:val="left"/>
              <w:rPr>
                <w:rFonts w:ascii="Times New Roman" w:hAnsi="Times New Roman" w:cs="Times New Roman"/>
                <w:bCs/>
                <w:sz w:val="22"/>
                <w:szCs w:val="22"/>
              </w:rPr>
            </w:pPr>
            <w:r w:rsidRPr="008F2979">
              <w:rPr>
                <w:rFonts w:ascii="Times New Roman" w:hAnsi="Times New Roman" w:cs="Times New Roman"/>
                <w:bCs/>
                <w:sz w:val="22"/>
                <w:szCs w:val="22"/>
              </w:rPr>
              <w:t xml:space="preserve">-Expert en sauvegarde sociale </w:t>
            </w:r>
          </w:p>
          <w:p w14:paraId="6453B7C6" w14:textId="77777777" w:rsidR="007F1D7D" w:rsidRPr="008F2979" w:rsidRDefault="007F1D7D" w:rsidP="00304825">
            <w:pPr>
              <w:pStyle w:val="BodyText"/>
              <w:spacing w:before="0" w:after="0"/>
              <w:jc w:val="left"/>
              <w:rPr>
                <w:rFonts w:ascii="Times New Roman" w:hAnsi="Times New Roman" w:cs="Times New Roman"/>
                <w:bCs/>
                <w:sz w:val="22"/>
                <w:szCs w:val="22"/>
              </w:rPr>
            </w:pPr>
          </w:p>
          <w:p w14:paraId="7ABE2182" w14:textId="77777777" w:rsidR="007F1D7D" w:rsidRPr="008F2979" w:rsidRDefault="007F1D7D" w:rsidP="00304825">
            <w:pPr>
              <w:pStyle w:val="BodyText"/>
              <w:spacing w:before="0" w:after="0"/>
              <w:jc w:val="left"/>
              <w:rPr>
                <w:rFonts w:ascii="Times New Roman" w:hAnsi="Times New Roman" w:cs="Times New Roman"/>
                <w:bCs/>
                <w:sz w:val="22"/>
                <w:szCs w:val="22"/>
              </w:rPr>
            </w:pPr>
            <w:r w:rsidRPr="008F2979">
              <w:rPr>
                <w:rFonts w:ascii="Times New Roman" w:hAnsi="Times New Roman" w:cs="Times New Roman"/>
                <w:bCs/>
                <w:sz w:val="22"/>
                <w:szCs w:val="22"/>
              </w:rPr>
              <w:t>-</w:t>
            </w:r>
            <w:r w:rsidRPr="008F2979">
              <w:rPr>
                <w:rFonts w:ascii="Times New Roman" w:hAnsi="Times New Roman" w:cs="Times New Roman"/>
                <w:sz w:val="22"/>
                <w:szCs w:val="22"/>
              </w:rPr>
              <w:t>ONG et les Conseils de Collectivités</w:t>
            </w:r>
          </w:p>
          <w:p w14:paraId="6B187EB8" w14:textId="77777777" w:rsidR="007F1D7D" w:rsidRPr="00C94BAA" w:rsidRDefault="007F1D7D" w:rsidP="00304825">
            <w:pPr>
              <w:pStyle w:val="BodyText"/>
              <w:spacing w:before="0" w:after="0"/>
              <w:jc w:val="left"/>
              <w:rPr>
                <w:rFonts w:ascii="Times New Roman" w:hAnsi="Times New Roman" w:cs="Times New Roman"/>
                <w:bCs/>
                <w:sz w:val="22"/>
                <w:szCs w:val="22"/>
              </w:rPr>
            </w:pPr>
          </w:p>
        </w:tc>
        <w:tc>
          <w:tcPr>
            <w:tcW w:w="1711" w:type="dxa"/>
          </w:tcPr>
          <w:p w14:paraId="25C25AD9" w14:textId="77777777" w:rsidR="007F1D7D" w:rsidRPr="00C94BAA" w:rsidRDefault="007F1D7D" w:rsidP="00304825">
            <w:pPr>
              <w:pStyle w:val="BodyText"/>
              <w:spacing w:before="0" w:after="0"/>
              <w:jc w:val="left"/>
              <w:rPr>
                <w:rFonts w:ascii="Times New Roman" w:hAnsi="Times New Roman" w:cs="Times New Roman"/>
                <w:bCs/>
                <w:sz w:val="22"/>
                <w:szCs w:val="22"/>
              </w:rPr>
            </w:pPr>
            <w:r>
              <w:rPr>
                <w:rFonts w:ascii="Times New Roman" w:hAnsi="Times New Roman" w:cs="Times New Roman"/>
                <w:bCs/>
                <w:sz w:val="22"/>
                <w:szCs w:val="22"/>
              </w:rPr>
              <w:t>Pendant la mise en œuvre du projet</w:t>
            </w:r>
          </w:p>
        </w:tc>
        <w:tc>
          <w:tcPr>
            <w:tcW w:w="2261" w:type="dxa"/>
            <w:shd w:val="clear" w:color="auto" w:fill="FFFFFF" w:themeFill="background1"/>
          </w:tcPr>
          <w:p w14:paraId="2C23F001" w14:textId="77777777" w:rsidR="007F1D7D" w:rsidRPr="00C94BAA" w:rsidRDefault="007F1D7D" w:rsidP="007F1D7D">
            <w:pPr>
              <w:pStyle w:val="BodyText"/>
              <w:numPr>
                <w:ilvl w:val="0"/>
                <w:numId w:val="34"/>
              </w:numPr>
              <w:spacing w:before="0" w:after="0"/>
              <w:ind w:left="321" w:hanging="270"/>
              <w:jc w:val="left"/>
              <w:rPr>
                <w:rFonts w:ascii="Times New Roman" w:hAnsi="Times New Roman" w:cs="Times New Roman"/>
                <w:b/>
                <w:sz w:val="22"/>
                <w:szCs w:val="22"/>
              </w:rPr>
            </w:pPr>
            <w:r w:rsidRPr="00C94BAA">
              <w:rPr>
                <w:rFonts w:ascii="Times New Roman" w:eastAsia="MS Mincho" w:hAnsi="Times New Roman" w:cs="Times New Roman"/>
                <w:b/>
                <w:sz w:val="22"/>
                <w:szCs w:val="22"/>
              </w:rPr>
              <w:t>Plan de formation et sensibilisation :</w:t>
            </w:r>
          </w:p>
          <w:p w14:paraId="79BB208A" w14:textId="77777777" w:rsidR="007F1D7D" w:rsidRPr="00C94BAA" w:rsidRDefault="007F1D7D" w:rsidP="00304825">
            <w:pPr>
              <w:pStyle w:val="BodyText"/>
              <w:spacing w:before="0" w:after="0"/>
              <w:ind w:left="51"/>
              <w:jc w:val="left"/>
              <w:rPr>
                <w:rFonts w:ascii="Times New Roman" w:eastAsia="MS Mincho" w:hAnsi="Times New Roman" w:cs="Times New Roman"/>
                <w:b/>
                <w:sz w:val="22"/>
                <w:szCs w:val="22"/>
              </w:rPr>
            </w:pPr>
          </w:p>
          <w:p w14:paraId="1ADC4798" w14:textId="77777777" w:rsidR="007F1D7D" w:rsidRPr="00C94BAA" w:rsidRDefault="007F1D7D" w:rsidP="00304825">
            <w:pPr>
              <w:pStyle w:val="BodyText"/>
              <w:spacing w:before="0" w:after="0"/>
              <w:ind w:left="51"/>
              <w:jc w:val="left"/>
              <w:rPr>
                <w:rFonts w:ascii="Times New Roman" w:hAnsi="Times New Roman" w:cs="Times New Roman"/>
                <w:bCs/>
                <w:sz w:val="22"/>
                <w:szCs w:val="22"/>
              </w:rPr>
            </w:pPr>
            <w:r w:rsidRPr="00C94BAA">
              <w:rPr>
                <w:rFonts w:ascii="Times New Roman" w:eastAsia="MS Mincho" w:hAnsi="Times New Roman" w:cs="Times New Roman"/>
                <w:bCs/>
                <w:sz w:val="22"/>
                <w:szCs w:val="22"/>
              </w:rPr>
              <w:t>% du personnel du projet qui reçoit une formation</w:t>
            </w:r>
            <w:r w:rsidRPr="00C94BAA">
              <w:rPr>
                <w:rFonts w:ascii="Times New Roman" w:hAnsi="Times New Roman" w:cs="Times New Roman"/>
                <w:bCs/>
                <w:sz w:val="22"/>
                <w:szCs w:val="22"/>
              </w:rPr>
              <w:t xml:space="preserve"> concernant les risques d’EAS/HS, y compris les codes de conduite et le MGP</w:t>
            </w:r>
          </w:p>
          <w:p w14:paraId="0FB356A2" w14:textId="77777777" w:rsidR="007F1D7D" w:rsidRPr="00C94BAA" w:rsidRDefault="007F1D7D" w:rsidP="00304825">
            <w:pPr>
              <w:pStyle w:val="BodyText"/>
              <w:spacing w:before="0" w:after="0"/>
              <w:ind w:left="51"/>
              <w:jc w:val="left"/>
              <w:rPr>
                <w:rFonts w:ascii="Times New Roman" w:hAnsi="Times New Roman" w:cs="Times New Roman"/>
                <w:bCs/>
                <w:sz w:val="22"/>
                <w:szCs w:val="22"/>
              </w:rPr>
            </w:pPr>
          </w:p>
          <w:p w14:paraId="6E0F321B" w14:textId="77777777" w:rsidR="007F1D7D" w:rsidRPr="00C94BAA" w:rsidRDefault="007F1D7D" w:rsidP="00304825">
            <w:pPr>
              <w:pStyle w:val="BodyText"/>
              <w:spacing w:before="0" w:after="0"/>
              <w:ind w:left="51"/>
              <w:jc w:val="left"/>
              <w:rPr>
                <w:rFonts w:ascii="Times New Roman" w:eastAsia="MS Mincho" w:hAnsi="Times New Roman" w:cs="Times New Roman"/>
                <w:bCs/>
                <w:sz w:val="22"/>
                <w:szCs w:val="22"/>
              </w:rPr>
            </w:pPr>
            <w:r w:rsidRPr="00C94BAA">
              <w:rPr>
                <w:rFonts w:ascii="Times New Roman" w:hAnsi="Times New Roman" w:cs="Times New Roman"/>
                <w:bCs/>
                <w:sz w:val="22"/>
                <w:szCs w:val="22"/>
              </w:rPr>
              <w:t>% du personnel formé qui montre des connaissances accrues après la formation (qui reçoivent une note sur le post-test au-delà de 80%)</w:t>
            </w:r>
          </w:p>
          <w:p w14:paraId="58022AEC" w14:textId="77777777" w:rsidR="007F1D7D" w:rsidRPr="00C94BAA" w:rsidRDefault="007F1D7D" w:rsidP="00304825">
            <w:pPr>
              <w:pStyle w:val="BodyText"/>
              <w:spacing w:before="0" w:after="0"/>
              <w:ind w:left="51"/>
              <w:jc w:val="left"/>
              <w:rPr>
                <w:rFonts w:ascii="Times New Roman" w:eastAsia="MS Mincho" w:hAnsi="Times New Roman" w:cs="Times New Roman"/>
                <w:bCs/>
                <w:sz w:val="22"/>
                <w:szCs w:val="22"/>
              </w:rPr>
            </w:pPr>
          </w:p>
          <w:p w14:paraId="663575FA" w14:textId="77777777" w:rsidR="007F1D7D" w:rsidRPr="00C94BAA" w:rsidRDefault="007F1D7D" w:rsidP="00304825">
            <w:pPr>
              <w:pStyle w:val="BodyText"/>
              <w:spacing w:before="0" w:after="0"/>
              <w:ind w:left="51"/>
              <w:jc w:val="left"/>
              <w:rPr>
                <w:rFonts w:ascii="Times New Roman" w:hAnsi="Times New Roman" w:cs="Times New Roman"/>
                <w:bCs/>
                <w:sz w:val="22"/>
                <w:szCs w:val="22"/>
              </w:rPr>
            </w:pPr>
          </w:p>
          <w:p w14:paraId="2BFBD449" w14:textId="77777777" w:rsidR="007F1D7D" w:rsidRPr="00C94BAA" w:rsidRDefault="007F1D7D" w:rsidP="00304825">
            <w:pPr>
              <w:pStyle w:val="BodyText"/>
              <w:spacing w:before="0" w:after="0"/>
              <w:jc w:val="left"/>
              <w:rPr>
                <w:rFonts w:ascii="Times New Roman" w:eastAsia="MS Mincho" w:hAnsi="Times New Roman" w:cs="Times New Roman"/>
                <w:bCs/>
                <w:sz w:val="22"/>
                <w:szCs w:val="22"/>
              </w:rPr>
            </w:pPr>
          </w:p>
          <w:p w14:paraId="770BAD89" w14:textId="77777777" w:rsidR="007F1D7D" w:rsidRPr="00C94BAA" w:rsidRDefault="007F1D7D" w:rsidP="00304825">
            <w:pPr>
              <w:pStyle w:val="BodyText"/>
              <w:spacing w:before="0" w:after="0"/>
              <w:jc w:val="left"/>
              <w:rPr>
                <w:rFonts w:ascii="Times New Roman" w:eastAsia="MS Mincho" w:hAnsi="Times New Roman" w:cs="Times New Roman"/>
                <w:bCs/>
                <w:sz w:val="22"/>
                <w:szCs w:val="22"/>
              </w:rPr>
            </w:pPr>
            <w:r w:rsidRPr="00C94BAA">
              <w:rPr>
                <w:rFonts w:ascii="Times New Roman" w:eastAsia="MS Mincho" w:hAnsi="Times New Roman" w:cs="Times New Roman"/>
                <w:bCs/>
                <w:sz w:val="22"/>
                <w:szCs w:val="22"/>
              </w:rPr>
              <w:t>Nombre de consultations communautaires avec les femmes et dans combien de zones d’intervention</w:t>
            </w:r>
          </w:p>
          <w:p w14:paraId="160D69BE" w14:textId="77777777" w:rsidR="007F1D7D" w:rsidRPr="00C94BAA" w:rsidRDefault="007F1D7D" w:rsidP="00304825">
            <w:pPr>
              <w:pStyle w:val="BodyText"/>
              <w:spacing w:before="0" w:after="0"/>
              <w:ind w:left="51"/>
              <w:jc w:val="left"/>
              <w:rPr>
                <w:rFonts w:ascii="Times New Roman" w:eastAsia="MS Mincho" w:hAnsi="Times New Roman" w:cs="Times New Roman"/>
                <w:bCs/>
                <w:sz w:val="22"/>
                <w:szCs w:val="22"/>
              </w:rPr>
            </w:pPr>
          </w:p>
          <w:p w14:paraId="1B9E5300" w14:textId="77777777" w:rsidR="007F1D7D" w:rsidRPr="00C94BAA" w:rsidRDefault="007F1D7D" w:rsidP="00304825">
            <w:pPr>
              <w:pStyle w:val="BodyText"/>
              <w:spacing w:before="0" w:after="0"/>
              <w:ind w:left="51"/>
              <w:jc w:val="left"/>
              <w:rPr>
                <w:rFonts w:ascii="Times New Roman" w:eastAsia="MS Mincho" w:hAnsi="Times New Roman" w:cs="Times New Roman"/>
                <w:bCs/>
                <w:sz w:val="22"/>
                <w:szCs w:val="22"/>
              </w:rPr>
            </w:pPr>
            <w:r w:rsidRPr="00C94BAA">
              <w:rPr>
                <w:rFonts w:ascii="Times New Roman" w:eastAsia="MS Mincho" w:hAnsi="Times New Roman" w:cs="Times New Roman"/>
                <w:bCs/>
                <w:sz w:val="22"/>
                <w:szCs w:val="22"/>
              </w:rPr>
              <w:t>Nombre de femmes consultées</w:t>
            </w:r>
          </w:p>
          <w:p w14:paraId="23E2EA96" w14:textId="77777777" w:rsidR="007F1D7D" w:rsidRPr="00C94BAA" w:rsidRDefault="007F1D7D" w:rsidP="00304825">
            <w:pPr>
              <w:pStyle w:val="BodyText"/>
              <w:spacing w:before="0" w:after="0"/>
              <w:ind w:left="51"/>
              <w:jc w:val="left"/>
              <w:rPr>
                <w:rFonts w:ascii="Times New Roman" w:eastAsia="MS Mincho" w:hAnsi="Times New Roman" w:cs="Times New Roman"/>
                <w:bCs/>
                <w:sz w:val="22"/>
                <w:szCs w:val="22"/>
              </w:rPr>
            </w:pPr>
          </w:p>
          <w:p w14:paraId="534E5030" w14:textId="77777777" w:rsidR="007F1D7D" w:rsidRDefault="007F1D7D" w:rsidP="00304825">
            <w:pPr>
              <w:pStyle w:val="BodyText"/>
              <w:spacing w:before="0" w:after="0"/>
              <w:ind w:left="51"/>
              <w:jc w:val="left"/>
              <w:rPr>
                <w:rFonts w:ascii="Times New Roman" w:hAnsi="Times New Roman" w:cs="Times New Roman"/>
                <w:bCs/>
                <w:sz w:val="22"/>
                <w:szCs w:val="22"/>
              </w:rPr>
            </w:pPr>
            <w:r w:rsidRPr="00C94BAA">
              <w:rPr>
                <w:rFonts w:ascii="Times New Roman" w:hAnsi="Times New Roman" w:cs="Times New Roman"/>
                <w:bCs/>
                <w:sz w:val="22"/>
                <w:szCs w:val="22"/>
              </w:rPr>
              <w:t>Nombre de sensibilisations communautaires menées</w:t>
            </w:r>
          </w:p>
          <w:p w14:paraId="7E671727" w14:textId="77777777" w:rsidR="007F1D7D" w:rsidRDefault="007F1D7D" w:rsidP="00304825">
            <w:pPr>
              <w:pStyle w:val="BodyText"/>
              <w:spacing w:before="0" w:after="0"/>
              <w:ind w:left="51"/>
              <w:jc w:val="left"/>
              <w:rPr>
                <w:rFonts w:ascii="Times New Roman" w:hAnsi="Times New Roman" w:cs="Times New Roman"/>
                <w:bCs/>
                <w:sz w:val="22"/>
                <w:szCs w:val="22"/>
              </w:rPr>
            </w:pPr>
          </w:p>
          <w:p w14:paraId="53F02B94" w14:textId="77777777" w:rsidR="007F1D7D" w:rsidRPr="00C94BAA" w:rsidRDefault="007F1D7D" w:rsidP="00304825">
            <w:pPr>
              <w:pStyle w:val="BodyText"/>
              <w:spacing w:before="0" w:after="0"/>
              <w:ind w:left="51"/>
              <w:jc w:val="left"/>
              <w:rPr>
                <w:rFonts w:ascii="Times New Roman" w:hAnsi="Times New Roman" w:cs="Times New Roman"/>
                <w:bCs/>
                <w:sz w:val="22"/>
                <w:szCs w:val="22"/>
              </w:rPr>
            </w:pPr>
            <w:r>
              <w:rPr>
                <w:rFonts w:ascii="Times New Roman" w:hAnsi="Times New Roman" w:cs="Times New Roman"/>
                <w:bCs/>
                <w:sz w:val="22"/>
                <w:szCs w:val="22"/>
              </w:rPr>
              <w:t>Nombre de sessions de formation des leaders communautaires sur les biens fondés et avantages des Espaces Surs et du projet en général</w:t>
            </w:r>
          </w:p>
          <w:p w14:paraId="3FC4A2B5" w14:textId="77777777" w:rsidR="007F1D7D" w:rsidRPr="00C94BAA" w:rsidRDefault="007F1D7D" w:rsidP="00304825">
            <w:pPr>
              <w:pStyle w:val="BodyText"/>
              <w:spacing w:before="0" w:after="0"/>
              <w:ind w:left="51"/>
              <w:jc w:val="left"/>
              <w:rPr>
                <w:rFonts w:ascii="Times New Roman" w:hAnsi="Times New Roman" w:cs="Times New Roman"/>
                <w:bCs/>
                <w:sz w:val="22"/>
                <w:szCs w:val="22"/>
              </w:rPr>
            </w:pPr>
          </w:p>
          <w:p w14:paraId="75A2E0B4" w14:textId="77777777" w:rsidR="007F1D7D" w:rsidRPr="00C94BAA" w:rsidRDefault="007F1D7D" w:rsidP="00304825">
            <w:pPr>
              <w:pStyle w:val="BodyText"/>
              <w:spacing w:before="0" w:after="0"/>
              <w:ind w:left="51"/>
              <w:jc w:val="left"/>
              <w:rPr>
                <w:rFonts w:ascii="Times New Roman" w:hAnsi="Times New Roman" w:cs="Times New Roman"/>
                <w:bCs/>
                <w:sz w:val="22"/>
                <w:szCs w:val="22"/>
              </w:rPr>
            </w:pPr>
            <w:r w:rsidRPr="00C94BAA">
              <w:rPr>
                <w:rFonts w:ascii="Times New Roman" w:hAnsi="Times New Roman" w:cs="Times New Roman"/>
                <w:bCs/>
                <w:sz w:val="22"/>
                <w:szCs w:val="22"/>
              </w:rPr>
              <w:t>Nombre de participants dans ces sensibilisations communautaires (désagrégés par sexe et tranche d’âge)</w:t>
            </w:r>
          </w:p>
        </w:tc>
        <w:tc>
          <w:tcPr>
            <w:tcW w:w="1479" w:type="dxa"/>
            <w:shd w:val="clear" w:color="auto" w:fill="E7E6E6" w:themeFill="background2"/>
          </w:tcPr>
          <w:p w14:paraId="04934943" w14:textId="77777777" w:rsidR="007F1D7D" w:rsidRPr="00C94BAA" w:rsidRDefault="007F1D7D" w:rsidP="00304825">
            <w:pPr>
              <w:pStyle w:val="BodyText"/>
              <w:spacing w:before="0" w:after="0"/>
              <w:jc w:val="left"/>
              <w:rPr>
                <w:rFonts w:ascii="Times New Roman" w:hAnsi="Times New Roman" w:cs="Times New Roman"/>
                <w:bCs/>
                <w:sz w:val="22"/>
                <w:szCs w:val="22"/>
              </w:rPr>
            </w:pPr>
            <w:r>
              <w:rPr>
                <w:rFonts w:ascii="Times New Roman" w:hAnsi="Times New Roman" w:cs="Times New Roman"/>
                <w:bCs/>
                <w:sz w:val="22"/>
                <w:szCs w:val="22"/>
              </w:rPr>
              <w:lastRenderedPageBreak/>
              <w:t>2 000 000 FCFA</w:t>
            </w:r>
          </w:p>
        </w:tc>
      </w:tr>
    </w:tbl>
    <w:p w14:paraId="2B114936" w14:textId="23940B35" w:rsidR="007F1D7D" w:rsidRDefault="007F1D7D" w:rsidP="007D424A">
      <w:pPr>
        <w:rPr>
          <w:rFonts w:ascii="Times New Roman" w:hAnsi="Times New Roman" w:cs="Times New Roman"/>
        </w:rPr>
      </w:pPr>
    </w:p>
    <w:tbl>
      <w:tblPr>
        <w:tblStyle w:val="TableGrid"/>
        <w:tblpPr w:leftFromText="180" w:rightFromText="180" w:vertAnchor="text" w:tblpX="233" w:tblpY="1"/>
        <w:tblOverlap w:val="never"/>
        <w:tblW w:w="14307" w:type="dxa"/>
        <w:tblLayout w:type="fixed"/>
        <w:tblLook w:val="04A0" w:firstRow="1" w:lastRow="0" w:firstColumn="1" w:lastColumn="0" w:noHBand="0" w:noVBand="1"/>
      </w:tblPr>
      <w:tblGrid>
        <w:gridCol w:w="4434"/>
        <w:gridCol w:w="2670"/>
        <w:gridCol w:w="1752"/>
        <w:gridCol w:w="1711"/>
        <w:gridCol w:w="2261"/>
        <w:gridCol w:w="1479"/>
      </w:tblGrid>
      <w:tr w:rsidR="00DF050A" w:rsidRPr="00C94BAA" w14:paraId="74D90A60" w14:textId="77777777" w:rsidTr="00304825">
        <w:trPr>
          <w:tblHeader/>
        </w:trPr>
        <w:tc>
          <w:tcPr>
            <w:tcW w:w="4434" w:type="dxa"/>
          </w:tcPr>
          <w:p w14:paraId="7CDEF3CC" w14:textId="77777777" w:rsidR="00DF050A" w:rsidRPr="00C94BAA" w:rsidRDefault="00DF050A" w:rsidP="00304825">
            <w:pPr>
              <w:pStyle w:val="BodyText"/>
              <w:spacing w:before="0" w:after="0"/>
              <w:jc w:val="center"/>
              <w:rPr>
                <w:rFonts w:ascii="Times New Roman" w:hAnsi="Times New Roman" w:cs="Times New Roman"/>
                <w:b/>
                <w:bCs/>
                <w:sz w:val="22"/>
                <w:szCs w:val="22"/>
              </w:rPr>
            </w:pPr>
            <w:r w:rsidRPr="00C94BAA">
              <w:rPr>
                <w:rFonts w:ascii="Times New Roman" w:hAnsi="Times New Roman" w:cs="Times New Roman"/>
                <w:b/>
                <w:sz w:val="22"/>
                <w:szCs w:val="22"/>
              </w:rPr>
              <w:lastRenderedPageBreak/>
              <w:t>Risques de EAS/HS liés au projet</w:t>
            </w:r>
          </w:p>
        </w:tc>
        <w:tc>
          <w:tcPr>
            <w:tcW w:w="2670" w:type="dxa"/>
          </w:tcPr>
          <w:p w14:paraId="103BD0D9" w14:textId="77777777" w:rsidR="00DF050A" w:rsidRPr="00C94BAA" w:rsidRDefault="00DF050A" w:rsidP="00304825">
            <w:pPr>
              <w:pStyle w:val="BodyText"/>
              <w:spacing w:before="0" w:after="0"/>
              <w:jc w:val="center"/>
              <w:rPr>
                <w:rFonts w:ascii="Times New Roman" w:hAnsi="Times New Roman" w:cs="Times New Roman"/>
                <w:b/>
                <w:bCs/>
                <w:sz w:val="22"/>
                <w:szCs w:val="22"/>
              </w:rPr>
            </w:pPr>
            <w:r w:rsidRPr="00C94BAA">
              <w:rPr>
                <w:rFonts w:ascii="Times New Roman" w:hAnsi="Times New Roman" w:cs="Times New Roman"/>
                <w:b/>
                <w:sz w:val="22"/>
                <w:szCs w:val="22"/>
              </w:rPr>
              <w:t>Mesures d’atténuation</w:t>
            </w:r>
          </w:p>
        </w:tc>
        <w:tc>
          <w:tcPr>
            <w:tcW w:w="1752" w:type="dxa"/>
          </w:tcPr>
          <w:p w14:paraId="61C7D27F" w14:textId="77777777" w:rsidR="00DF050A" w:rsidRPr="00C94BAA" w:rsidRDefault="00DF050A" w:rsidP="00304825">
            <w:pPr>
              <w:pStyle w:val="BodyText"/>
              <w:spacing w:before="0" w:after="0"/>
              <w:jc w:val="center"/>
              <w:rPr>
                <w:rFonts w:ascii="Times New Roman" w:hAnsi="Times New Roman" w:cs="Times New Roman"/>
                <w:b/>
                <w:sz w:val="22"/>
                <w:szCs w:val="22"/>
              </w:rPr>
            </w:pPr>
            <w:r w:rsidRPr="00C94BAA">
              <w:rPr>
                <w:rFonts w:ascii="Times New Roman" w:hAnsi="Times New Roman" w:cs="Times New Roman"/>
                <w:b/>
                <w:sz w:val="22"/>
                <w:szCs w:val="22"/>
              </w:rPr>
              <w:t>Responsable</w:t>
            </w:r>
          </w:p>
        </w:tc>
        <w:tc>
          <w:tcPr>
            <w:tcW w:w="1711" w:type="dxa"/>
          </w:tcPr>
          <w:p w14:paraId="49E33EC8" w14:textId="77777777" w:rsidR="00DF050A" w:rsidRPr="00C94BAA" w:rsidRDefault="00DF050A" w:rsidP="00304825">
            <w:pPr>
              <w:pStyle w:val="BodyText"/>
              <w:spacing w:before="0" w:after="0"/>
              <w:jc w:val="center"/>
              <w:rPr>
                <w:rFonts w:ascii="Times New Roman" w:hAnsi="Times New Roman" w:cs="Times New Roman"/>
                <w:b/>
                <w:sz w:val="22"/>
                <w:szCs w:val="22"/>
              </w:rPr>
            </w:pPr>
            <w:r w:rsidRPr="00C94BAA">
              <w:rPr>
                <w:rFonts w:ascii="Times New Roman" w:hAnsi="Times New Roman" w:cs="Times New Roman"/>
                <w:b/>
                <w:sz w:val="22"/>
                <w:szCs w:val="22"/>
              </w:rPr>
              <w:t>Échéance</w:t>
            </w:r>
          </w:p>
        </w:tc>
        <w:tc>
          <w:tcPr>
            <w:tcW w:w="2261" w:type="dxa"/>
            <w:shd w:val="clear" w:color="auto" w:fill="FFFFFF" w:themeFill="background1"/>
          </w:tcPr>
          <w:p w14:paraId="2DEC6708" w14:textId="77777777" w:rsidR="00DF050A" w:rsidRPr="00C94BAA" w:rsidRDefault="00DF050A" w:rsidP="00304825">
            <w:pPr>
              <w:pStyle w:val="BodyText"/>
              <w:spacing w:before="0" w:after="0"/>
              <w:jc w:val="center"/>
              <w:rPr>
                <w:rFonts w:ascii="Times New Roman" w:hAnsi="Times New Roman" w:cs="Times New Roman"/>
                <w:b/>
                <w:sz w:val="22"/>
                <w:szCs w:val="22"/>
              </w:rPr>
            </w:pPr>
            <w:r w:rsidRPr="00C94BAA">
              <w:rPr>
                <w:rFonts w:ascii="Times New Roman" w:hAnsi="Times New Roman" w:cs="Times New Roman"/>
                <w:b/>
                <w:sz w:val="22"/>
                <w:szCs w:val="22"/>
              </w:rPr>
              <w:t>Indicateur(s)</w:t>
            </w:r>
          </w:p>
        </w:tc>
        <w:tc>
          <w:tcPr>
            <w:tcW w:w="1479" w:type="dxa"/>
            <w:shd w:val="clear" w:color="auto" w:fill="E7E6E6" w:themeFill="background2"/>
          </w:tcPr>
          <w:p w14:paraId="613978B8" w14:textId="77777777" w:rsidR="00DF050A" w:rsidRPr="00C94BAA" w:rsidRDefault="00DF050A" w:rsidP="00304825">
            <w:pPr>
              <w:pStyle w:val="BodyText"/>
              <w:spacing w:before="0" w:after="0"/>
              <w:jc w:val="center"/>
              <w:rPr>
                <w:rFonts w:ascii="Times New Roman" w:hAnsi="Times New Roman" w:cs="Times New Roman"/>
                <w:b/>
                <w:sz w:val="22"/>
                <w:szCs w:val="22"/>
              </w:rPr>
            </w:pPr>
            <w:r w:rsidRPr="00C94BAA">
              <w:rPr>
                <w:rFonts w:ascii="Times New Roman" w:hAnsi="Times New Roman" w:cs="Times New Roman"/>
                <w:b/>
                <w:sz w:val="22"/>
                <w:szCs w:val="22"/>
              </w:rPr>
              <w:t>Budget</w:t>
            </w:r>
          </w:p>
        </w:tc>
      </w:tr>
      <w:tr w:rsidR="00DF050A" w:rsidRPr="00C94BAA" w14:paraId="3FB53B98" w14:textId="77777777" w:rsidTr="00304825">
        <w:trPr>
          <w:tblHeader/>
        </w:trPr>
        <w:tc>
          <w:tcPr>
            <w:tcW w:w="14307" w:type="dxa"/>
            <w:gridSpan w:val="6"/>
          </w:tcPr>
          <w:p w14:paraId="456FF56B" w14:textId="77777777" w:rsidR="00DF050A" w:rsidRPr="00C94BAA" w:rsidRDefault="00DF050A" w:rsidP="00304825">
            <w:pPr>
              <w:pStyle w:val="NormalWeb"/>
              <w:shd w:val="clear" w:color="auto" w:fill="FFFFFF"/>
              <w:rPr>
                <w:b/>
                <w:bCs/>
                <w:color w:val="4472C4" w:themeColor="accent1"/>
                <w:sz w:val="22"/>
                <w:szCs w:val="22"/>
              </w:rPr>
            </w:pPr>
          </w:p>
          <w:p w14:paraId="7326DD1D" w14:textId="77777777" w:rsidR="00DF050A" w:rsidRPr="00C94BAA" w:rsidRDefault="00DF050A" w:rsidP="00304825">
            <w:pPr>
              <w:pStyle w:val="NormalWeb"/>
              <w:shd w:val="clear" w:color="auto" w:fill="FFFFFF"/>
              <w:rPr>
                <w:b/>
                <w:bCs/>
                <w:color w:val="4472C4" w:themeColor="accent1"/>
                <w:sz w:val="22"/>
                <w:szCs w:val="22"/>
              </w:rPr>
            </w:pPr>
            <w:r w:rsidRPr="00C94BAA">
              <w:rPr>
                <w:b/>
                <w:bCs/>
                <w:color w:val="4472C4" w:themeColor="accent1"/>
                <w:sz w:val="22"/>
                <w:szCs w:val="22"/>
              </w:rPr>
              <w:t>COMPOSANTE 2 : Promotion à l’accès aux services de Santé / éducation des femmes &amp; filles</w:t>
            </w:r>
          </w:p>
          <w:p w14:paraId="34FD9A2C" w14:textId="77777777" w:rsidR="00DF050A" w:rsidRPr="00C94BAA" w:rsidRDefault="00DF050A" w:rsidP="00304825">
            <w:pPr>
              <w:pStyle w:val="NormalWeb"/>
              <w:shd w:val="clear" w:color="auto" w:fill="FFFFFF"/>
              <w:rPr>
                <w:b/>
                <w:bCs/>
                <w:color w:val="4472C4" w:themeColor="accent1"/>
                <w:sz w:val="22"/>
                <w:szCs w:val="22"/>
              </w:rPr>
            </w:pPr>
            <w:r w:rsidRPr="00C94BAA">
              <w:rPr>
                <w:b/>
                <w:bCs/>
                <w:color w:val="4472C4" w:themeColor="accent1"/>
                <w:sz w:val="22"/>
                <w:szCs w:val="22"/>
              </w:rPr>
              <w:t xml:space="preserve">2.1 Santé communautaire et accès aux services de santé primaire : </w:t>
            </w:r>
            <w:r w:rsidRPr="00C94BAA">
              <w:rPr>
                <w:b/>
                <w:bCs/>
                <w:sz w:val="22"/>
                <w:szCs w:val="22"/>
              </w:rPr>
              <w:t>Cette sous-composante financera la promotion de l’accès aux services de santé aux femmes et aux filles en connectant celles-ci aux centres de santé</w:t>
            </w:r>
          </w:p>
          <w:p w14:paraId="00104E8C" w14:textId="77777777" w:rsidR="00DF050A" w:rsidRPr="00C94BAA" w:rsidRDefault="00DF050A" w:rsidP="00304825">
            <w:pPr>
              <w:pStyle w:val="NormalWeb"/>
              <w:shd w:val="clear" w:color="auto" w:fill="FFFFFF"/>
              <w:jc w:val="both"/>
              <w:rPr>
                <w:b/>
                <w:bCs/>
                <w:sz w:val="22"/>
                <w:szCs w:val="22"/>
              </w:rPr>
            </w:pPr>
            <w:r w:rsidRPr="00C94BAA">
              <w:rPr>
                <w:b/>
                <w:bCs/>
                <w:color w:val="4472C4" w:themeColor="accent1"/>
                <w:sz w:val="22"/>
                <w:szCs w:val="22"/>
              </w:rPr>
              <w:t xml:space="preserve">2.2 &amp; 2.3 Accès à l’éducation – formation professionnelle des filles : </w:t>
            </w:r>
            <w:r w:rsidRPr="00C94BAA">
              <w:rPr>
                <w:b/>
                <w:bCs/>
                <w:sz w:val="22"/>
                <w:szCs w:val="22"/>
              </w:rPr>
              <w:t xml:space="preserve">Cette sous-composante financera la promotion de l’accès à l’éducation des filles notamment en visant la réduction des barrières financières et le renforcement des écoles et établissements scolaires comme espaces sûrs pour l’éducation des filles. Cette sous-composante du projet entend également promouvoir et renforcer les opportunités d’apprentissage et de formations courtes à destination des filles et adolescentes y compris la réhabilitation de 6 des établissements d’apprentissage et formation professionnelle </w:t>
            </w:r>
          </w:p>
          <w:p w14:paraId="0CA20C0E" w14:textId="77777777" w:rsidR="00DF050A" w:rsidRPr="00C94BAA" w:rsidRDefault="00DF050A" w:rsidP="00304825">
            <w:pPr>
              <w:pStyle w:val="NormalWeb"/>
              <w:shd w:val="clear" w:color="auto" w:fill="FFFFFF"/>
              <w:jc w:val="both"/>
              <w:rPr>
                <w:b/>
                <w:bCs/>
                <w:color w:val="4472C4" w:themeColor="accent1"/>
                <w:sz w:val="22"/>
                <w:szCs w:val="22"/>
              </w:rPr>
            </w:pPr>
          </w:p>
        </w:tc>
      </w:tr>
      <w:tr w:rsidR="00DF050A" w:rsidRPr="00C94BAA" w14:paraId="3821D653" w14:textId="77777777" w:rsidTr="00304825">
        <w:trPr>
          <w:trHeight w:val="4243"/>
        </w:trPr>
        <w:tc>
          <w:tcPr>
            <w:tcW w:w="4434" w:type="dxa"/>
          </w:tcPr>
          <w:p w14:paraId="26BC1ACB" w14:textId="77777777" w:rsidR="00DF050A" w:rsidRPr="00C94BAA" w:rsidRDefault="00DF050A" w:rsidP="00304825">
            <w:pPr>
              <w:pStyle w:val="ListParagraph"/>
              <w:autoSpaceDE w:val="0"/>
              <w:autoSpaceDN w:val="0"/>
              <w:adjustRightInd w:val="0"/>
              <w:spacing w:after="120" w:line="240" w:lineRule="auto"/>
              <w:ind w:left="0"/>
              <w:contextualSpacing w:val="0"/>
              <w:rPr>
                <w:rFonts w:ascii="Times New Roman" w:hAnsi="Times New Roman" w:cs="Times New Roman"/>
              </w:rPr>
            </w:pPr>
            <w:r w:rsidRPr="00C94BAA">
              <w:rPr>
                <w:rFonts w:ascii="Times New Roman" w:eastAsia="MS Mincho" w:hAnsi="Times New Roman" w:cs="Times New Roman"/>
                <w:bCs/>
              </w:rPr>
              <w:t xml:space="preserve">2a. </w:t>
            </w:r>
            <w:r w:rsidRPr="00C94BAA">
              <w:rPr>
                <w:rFonts w:ascii="Times New Roman" w:hAnsi="Times New Roman" w:cs="Times New Roman"/>
              </w:rPr>
              <w:t xml:space="preserve"> Risques d’EAS et d’abus de pouvoir exercés contre les femmes et les filles par les travailleurs en santé communautaire, par le personnel des centres de santé primaire et des écoles et autres établissements scolaires d’apprentissage et de formation. </w:t>
            </w:r>
          </w:p>
          <w:p w14:paraId="195CA694" w14:textId="77777777" w:rsidR="00DF050A" w:rsidRPr="00C94BAA" w:rsidRDefault="00DF050A" w:rsidP="00304825">
            <w:pPr>
              <w:pStyle w:val="ListParagraph"/>
              <w:autoSpaceDE w:val="0"/>
              <w:autoSpaceDN w:val="0"/>
              <w:adjustRightInd w:val="0"/>
              <w:spacing w:after="120" w:line="240" w:lineRule="auto"/>
              <w:ind w:left="0"/>
              <w:contextualSpacing w:val="0"/>
              <w:rPr>
                <w:rFonts w:ascii="Times New Roman" w:hAnsi="Times New Roman" w:cs="Times New Roman"/>
              </w:rPr>
            </w:pPr>
            <w:r w:rsidRPr="00C94BAA">
              <w:rPr>
                <w:rFonts w:ascii="Times New Roman" w:hAnsi="Times New Roman" w:cs="Times New Roman"/>
              </w:rPr>
              <w:t>2b.  Risques de VBG, EAS et HS liés à l’absence de code de conduite pour les personnels des centres de santé, des écoles et autres établissements scolaires d’apprentissage et de formation qui garantissent un environnement de travail sûr et respectueux pour le personnel féminin et prohibe et sanctionne les EAS et HS.</w:t>
            </w:r>
          </w:p>
          <w:p w14:paraId="126F4486" w14:textId="77777777" w:rsidR="00DF050A" w:rsidRPr="00C94BAA" w:rsidRDefault="00DF050A" w:rsidP="00304825">
            <w:pPr>
              <w:pStyle w:val="ListParagraph"/>
              <w:autoSpaceDE w:val="0"/>
              <w:autoSpaceDN w:val="0"/>
              <w:adjustRightInd w:val="0"/>
              <w:spacing w:after="120" w:line="240" w:lineRule="auto"/>
              <w:ind w:left="0"/>
              <w:contextualSpacing w:val="0"/>
              <w:rPr>
                <w:rFonts w:ascii="Times New Roman" w:hAnsi="Times New Roman" w:cs="Times New Roman"/>
              </w:rPr>
            </w:pPr>
            <w:r w:rsidRPr="00C94BAA">
              <w:rPr>
                <w:rFonts w:ascii="Times New Roman" w:hAnsi="Times New Roman" w:cs="Times New Roman"/>
                <w:lang w:bidi="fr-FR"/>
              </w:rPr>
              <w:t xml:space="preserve">2c. Risques </w:t>
            </w:r>
            <w:r w:rsidRPr="00C94BAA">
              <w:rPr>
                <w:rFonts w:ascii="Times New Roman" w:hAnsi="Times New Roman" w:cs="Times New Roman"/>
                <w:u w:val="single"/>
                <w:lang w:bidi="fr-FR"/>
              </w:rPr>
              <w:t>modérés</w:t>
            </w:r>
            <w:r w:rsidRPr="00C94BAA">
              <w:rPr>
                <w:rFonts w:ascii="Times New Roman" w:hAnsi="Times New Roman" w:cs="Times New Roman"/>
                <w:lang w:bidi="fr-FR"/>
              </w:rPr>
              <w:t xml:space="preserve"> associés à un possible apport de main-d'œuvre pour les activités de </w:t>
            </w:r>
            <w:r w:rsidRPr="00C94BAA">
              <w:rPr>
                <w:rFonts w:ascii="Times New Roman" w:hAnsi="Times New Roman" w:cs="Times New Roman"/>
                <w:lang w:bidi="fr-FR"/>
              </w:rPr>
              <w:lastRenderedPageBreak/>
              <w:t xml:space="preserve">réhabilitation des établissements d’apprentissage et formation professionnelle sur la VBG / EAS dans les communautés </w:t>
            </w:r>
          </w:p>
          <w:p w14:paraId="51A48A77" w14:textId="77777777" w:rsidR="00DF050A" w:rsidRPr="00C94BAA" w:rsidRDefault="00DF050A" w:rsidP="00304825">
            <w:pPr>
              <w:pStyle w:val="ListParagraph"/>
              <w:autoSpaceDE w:val="0"/>
              <w:autoSpaceDN w:val="0"/>
              <w:adjustRightInd w:val="0"/>
              <w:spacing w:after="120" w:line="240" w:lineRule="auto"/>
              <w:ind w:left="0"/>
              <w:contextualSpacing w:val="0"/>
              <w:rPr>
                <w:rFonts w:ascii="Times New Roman" w:hAnsi="Times New Roman" w:cs="Times New Roman"/>
              </w:rPr>
            </w:pPr>
          </w:p>
          <w:p w14:paraId="3060E381" w14:textId="77777777" w:rsidR="00DF050A" w:rsidRPr="00C94BAA" w:rsidRDefault="00DF050A" w:rsidP="00304825">
            <w:pPr>
              <w:pStyle w:val="ListParagraph"/>
              <w:autoSpaceDE w:val="0"/>
              <w:autoSpaceDN w:val="0"/>
              <w:adjustRightInd w:val="0"/>
              <w:spacing w:after="120" w:line="240" w:lineRule="auto"/>
              <w:ind w:left="0"/>
              <w:contextualSpacing w:val="0"/>
              <w:rPr>
                <w:rFonts w:ascii="Times New Roman" w:hAnsi="Times New Roman" w:cs="Times New Roman"/>
              </w:rPr>
            </w:pPr>
          </w:p>
          <w:p w14:paraId="10049166" w14:textId="77777777" w:rsidR="00DF050A" w:rsidRPr="00C94BAA" w:rsidRDefault="00DF050A" w:rsidP="00304825">
            <w:pPr>
              <w:pStyle w:val="ListParagraph"/>
              <w:autoSpaceDE w:val="0"/>
              <w:autoSpaceDN w:val="0"/>
              <w:adjustRightInd w:val="0"/>
              <w:spacing w:after="120" w:line="240" w:lineRule="auto"/>
              <w:ind w:left="0"/>
              <w:contextualSpacing w:val="0"/>
              <w:rPr>
                <w:rFonts w:ascii="Times New Roman" w:hAnsi="Times New Roman" w:cs="Times New Roman"/>
              </w:rPr>
            </w:pPr>
          </w:p>
          <w:p w14:paraId="1A4ABF1D" w14:textId="77777777" w:rsidR="00DF050A" w:rsidRPr="00C94BAA" w:rsidRDefault="00DF050A" w:rsidP="00304825">
            <w:pPr>
              <w:autoSpaceDE w:val="0"/>
              <w:autoSpaceDN w:val="0"/>
              <w:adjustRightInd w:val="0"/>
              <w:rPr>
                <w:rFonts w:ascii="Times New Roman" w:eastAsia="MS Mincho" w:hAnsi="Times New Roman" w:cs="Times New Roman"/>
                <w:bCs/>
              </w:rPr>
            </w:pPr>
          </w:p>
        </w:tc>
        <w:tc>
          <w:tcPr>
            <w:tcW w:w="2670" w:type="dxa"/>
          </w:tcPr>
          <w:p w14:paraId="409272D5" w14:textId="77777777" w:rsidR="00DF050A" w:rsidRPr="00C94BAA" w:rsidRDefault="00DF050A" w:rsidP="00304825">
            <w:pPr>
              <w:autoSpaceDE w:val="0"/>
              <w:autoSpaceDN w:val="0"/>
              <w:adjustRightInd w:val="0"/>
              <w:spacing w:after="120" w:line="240" w:lineRule="auto"/>
              <w:rPr>
                <w:rFonts w:ascii="Times New Roman" w:eastAsia="MS Mincho" w:hAnsi="Times New Roman" w:cs="Times New Roman"/>
                <w:b/>
              </w:rPr>
            </w:pPr>
            <w:r w:rsidRPr="00C94BAA">
              <w:rPr>
                <w:rFonts w:ascii="Times New Roman" w:eastAsia="MS Mincho" w:hAnsi="Times New Roman" w:cs="Times New Roman"/>
                <w:b/>
              </w:rPr>
              <w:lastRenderedPageBreak/>
              <w:t>a. Plan de redevabilité et réponse, incluant :</w:t>
            </w:r>
          </w:p>
          <w:p w14:paraId="4D4C312A" w14:textId="77777777" w:rsidR="00DF050A" w:rsidRPr="00C94BAA" w:rsidRDefault="00DF050A" w:rsidP="00DF050A">
            <w:pPr>
              <w:pStyle w:val="ListParagraph"/>
              <w:numPr>
                <w:ilvl w:val="0"/>
                <w:numId w:val="39"/>
              </w:numPr>
              <w:autoSpaceDE w:val="0"/>
              <w:autoSpaceDN w:val="0"/>
              <w:adjustRightInd w:val="0"/>
              <w:spacing w:after="120" w:line="240" w:lineRule="auto"/>
              <w:ind w:left="424" w:hanging="284"/>
              <w:rPr>
                <w:rFonts w:ascii="Times New Roman" w:eastAsia="MS Mincho" w:hAnsi="Times New Roman" w:cs="Times New Roman"/>
                <w:b/>
              </w:rPr>
            </w:pPr>
            <w:r w:rsidRPr="00C94BAA">
              <w:rPr>
                <w:rFonts w:ascii="Times New Roman" w:eastAsia="MS Mincho" w:hAnsi="Times New Roman" w:cs="Times New Roman"/>
                <w:bCs/>
              </w:rPr>
              <w:t xml:space="preserve">Élaboration et signature des codes de conduite pour les travailleurs et le personnel du projet, </w:t>
            </w:r>
            <w:r w:rsidRPr="000E54D9">
              <w:rPr>
                <w:rFonts w:ascii="Times New Roman" w:eastAsia="MS Mincho" w:hAnsi="Times New Roman" w:cs="Times New Roman"/>
                <w:bCs/>
                <w:i/>
                <w:iCs/>
              </w:rPr>
              <w:t>(y compris dans les écoles</w:t>
            </w:r>
            <w:r>
              <w:rPr>
                <w:rFonts w:ascii="Times New Roman" w:eastAsia="MS Mincho" w:hAnsi="Times New Roman" w:cs="Times New Roman"/>
                <w:bCs/>
                <w:i/>
                <w:iCs/>
              </w:rPr>
              <w:t xml:space="preserve"> et centres d’apprentissage</w:t>
            </w:r>
            <w:r w:rsidRPr="000E54D9">
              <w:rPr>
                <w:rFonts w:ascii="Times New Roman" w:eastAsia="MS Mincho" w:hAnsi="Times New Roman" w:cs="Times New Roman"/>
                <w:bCs/>
                <w:i/>
                <w:iCs/>
              </w:rPr>
              <w:t xml:space="preserve"> en complémentarité avec le projet Education PAPSE II)</w:t>
            </w:r>
            <w:r>
              <w:rPr>
                <w:rFonts w:ascii="Times New Roman" w:eastAsia="MS Mincho" w:hAnsi="Times New Roman" w:cs="Times New Roman"/>
                <w:bCs/>
                <w:i/>
                <w:iCs/>
              </w:rPr>
              <w:t xml:space="preserve"> </w:t>
            </w:r>
            <w:r w:rsidRPr="00C94BAA">
              <w:rPr>
                <w:rFonts w:ascii="Times New Roman" w:eastAsia="MS Mincho" w:hAnsi="Times New Roman" w:cs="Times New Roman"/>
                <w:bCs/>
              </w:rPr>
              <w:t xml:space="preserve"> qui comprennent au minimum les éléments suivants :</w:t>
            </w:r>
          </w:p>
          <w:p w14:paraId="7F0705A6" w14:textId="77777777" w:rsidR="00DF050A" w:rsidRPr="00C94BAA" w:rsidRDefault="00DF050A" w:rsidP="00304825">
            <w:pPr>
              <w:pStyle w:val="ListParagraph"/>
              <w:autoSpaceDE w:val="0"/>
              <w:autoSpaceDN w:val="0"/>
              <w:adjustRightInd w:val="0"/>
              <w:spacing w:after="120" w:line="240" w:lineRule="auto"/>
              <w:ind w:left="424"/>
              <w:rPr>
                <w:rFonts w:ascii="Times New Roman" w:eastAsia="MS Mincho" w:hAnsi="Times New Roman" w:cs="Times New Roman"/>
                <w:b/>
              </w:rPr>
            </w:pPr>
          </w:p>
          <w:p w14:paraId="4B70B900" w14:textId="77777777" w:rsidR="00DF050A" w:rsidRPr="00C94BAA" w:rsidRDefault="00DF050A" w:rsidP="00DF050A">
            <w:pPr>
              <w:pStyle w:val="ListParagraph"/>
              <w:numPr>
                <w:ilvl w:val="0"/>
                <w:numId w:val="33"/>
              </w:numPr>
              <w:autoSpaceDE w:val="0"/>
              <w:autoSpaceDN w:val="0"/>
              <w:adjustRightInd w:val="0"/>
              <w:spacing w:after="120" w:line="240" w:lineRule="auto"/>
              <w:contextualSpacing w:val="0"/>
              <w:rPr>
                <w:rFonts w:ascii="Times New Roman" w:eastAsia="MS Mincho" w:hAnsi="Times New Roman" w:cs="Times New Roman"/>
                <w:b/>
              </w:rPr>
            </w:pPr>
            <w:r w:rsidRPr="00C94BAA">
              <w:rPr>
                <w:rFonts w:ascii="Times New Roman" w:eastAsia="MS Mincho" w:hAnsi="Times New Roman" w:cs="Times New Roman"/>
                <w:bCs/>
              </w:rPr>
              <w:t>Comportement interdit</w:t>
            </w:r>
          </w:p>
          <w:p w14:paraId="3E760D0B" w14:textId="77777777" w:rsidR="00DF050A" w:rsidRPr="00C94BAA" w:rsidRDefault="00DF050A" w:rsidP="00DF050A">
            <w:pPr>
              <w:pStyle w:val="ListParagraph"/>
              <w:numPr>
                <w:ilvl w:val="0"/>
                <w:numId w:val="33"/>
              </w:numPr>
              <w:autoSpaceDE w:val="0"/>
              <w:autoSpaceDN w:val="0"/>
              <w:adjustRightInd w:val="0"/>
              <w:spacing w:after="120" w:line="240" w:lineRule="auto"/>
              <w:contextualSpacing w:val="0"/>
              <w:rPr>
                <w:rFonts w:ascii="Times New Roman" w:eastAsia="MS Mincho" w:hAnsi="Times New Roman" w:cs="Times New Roman"/>
                <w:b/>
              </w:rPr>
            </w:pPr>
            <w:r w:rsidRPr="00C94BAA">
              <w:rPr>
                <w:rFonts w:ascii="Times New Roman" w:eastAsia="MS Mincho" w:hAnsi="Times New Roman" w:cs="Times New Roman"/>
                <w:bCs/>
              </w:rPr>
              <w:t>Liste des sanctions</w:t>
            </w:r>
          </w:p>
          <w:p w14:paraId="51DF22E1" w14:textId="77777777" w:rsidR="00DF050A" w:rsidRPr="00C94BAA" w:rsidRDefault="00DF050A" w:rsidP="00DF050A">
            <w:pPr>
              <w:pStyle w:val="ListParagraph"/>
              <w:numPr>
                <w:ilvl w:val="0"/>
                <w:numId w:val="33"/>
              </w:numPr>
              <w:autoSpaceDE w:val="0"/>
              <w:autoSpaceDN w:val="0"/>
              <w:adjustRightInd w:val="0"/>
              <w:spacing w:after="120" w:line="240" w:lineRule="auto"/>
              <w:contextualSpacing w:val="0"/>
              <w:rPr>
                <w:rFonts w:ascii="Times New Roman" w:eastAsia="MS Mincho" w:hAnsi="Times New Roman" w:cs="Times New Roman"/>
                <w:b/>
              </w:rPr>
            </w:pPr>
            <w:r w:rsidRPr="00C94BAA">
              <w:rPr>
                <w:rFonts w:ascii="Times New Roman" w:eastAsia="MS Mincho" w:hAnsi="Times New Roman" w:cs="Times New Roman"/>
                <w:bCs/>
              </w:rPr>
              <w:t>Standards minimums à suivre pour l’UGP</w:t>
            </w:r>
          </w:p>
          <w:p w14:paraId="784A014E" w14:textId="77777777" w:rsidR="00DF050A" w:rsidRPr="00C94BAA" w:rsidRDefault="00DF050A" w:rsidP="00DF050A">
            <w:pPr>
              <w:pStyle w:val="ListParagraph"/>
              <w:numPr>
                <w:ilvl w:val="0"/>
                <w:numId w:val="33"/>
              </w:numPr>
              <w:autoSpaceDE w:val="0"/>
              <w:autoSpaceDN w:val="0"/>
              <w:adjustRightInd w:val="0"/>
              <w:spacing w:after="120" w:line="240" w:lineRule="auto"/>
              <w:contextualSpacing w:val="0"/>
              <w:rPr>
                <w:rFonts w:ascii="Times New Roman" w:eastAsia="MS Mincho" w:hAnsi="Times New Roman" w:cs="Times New Roman"/>
                <w:b/>
              </w:rPr>
            </w:pPr>
            <w:r w:rsidRPr="00C94BAA">
              <w:rPr>
                <w:rFonts w:ascii="Times New Roman" w:eastAsia="MS Mincho" w:hAnsi="Times New Roman" w:cs="Times New Roman"/>
                <w:bCs/>
              </w:rPr>
              <w:t>Obligations de rapportage et mécanisme de recueil des plaintes</w:t>
            </w:r>
          </w:p>
          <w:p w14:paraId="4A20F8EF" w14:textId="77777777" w:rsidR="00DF050A" w:rsidRPr="00C94BAA" w:rsidRDefault="00DF050A" w:rsidP="00DF050A">
            <w:pPr>
              <w:pStyle w:val="ListParagraph"/>
              <w:numPr>
                <w:ilvl w:val="0"/>
                <w:numId w:val="33"/>
              </w:numPr>
              <w:autoSpaceDE w:val="0"/>
              <w:autoSpaceDN w:val="0"/>
              <w:adjustRightInd w:val="0"/>
              <w:spacing w:after="120" w:line="240" w:lineRule="auto"/>
              <w:contextualSpacing w:val="0"/>
              <w:rPr>
                <w:rFonts w:ascii="Times New Roman" w:eastAsia="MS Mincho" w:hAnsi="Times New Roman" w:cs="Times New Roman"/>
                <w:b/>
              </w:rPr>
            </w:pPr>
            <w:r w:rsidRPr="00C94BAA">
              <w:rPr>
                <w:rFonts w:ascii="Times New Roman" w:eastAsia="MS Mincho" w:hAnsi="Times New Roman" w:cs="Times New Roman"/>
                <w:bCs/>
              </w:rPr>
              <w:t>Mise en place (opérationnalisation des Coc).</w:t>
            </w:r>
          </w:p>
          <w:p w14:paraId="6DFABC5E" w14:textId="77777777" w:rsidR="00DF050A" w:rsidRPr="00C94BAA" w:rsidRDefault="00DF050A" w:rsidP="00DF050A">
            <w:pPr>
              <w:pStyle w:val="ListParagraph"/>
              <w:numPr>
                <w:ilvl w:val="0"/>
                <w:numId w:val="39"/>
              </w:numPr>
              <w:autoSpaceDE w:val="0"/>
              <w:autoSpaceDN w:val="0"/>
              <w:adjustRightInd w:val="0"/>
              <w:spacing w:after="120" w:line="240" w:lineRule="auto"/>
              <w:ind w:left="565" w:hanging="425"/>
              <w:rPr>
                <w:rFonts w:ascii="Times New Roman" w:eastAsia="MS Mincho" w:hAnsi="Times New Roman" w:cs="Times New Roman"/>
                <w:b/>
              </w:rPr>
            </w:pPr>
            <w:r w:rsidRPr="00C94BAA">
              <w:rPr>
                <w:rFonts w:ascii="Times New Roman" w:eastAsia="MS Mincho" w:hAnsi="Times New Roman" w:cs="Times New Roman"/>
                <w:bCs/>
              </w:rPr>
              <w:t>Mise en place du MGP sensible à l’EAS/HS, qui comprend au minimum les éléments suivants :</w:t>
            </w:r>
          </w:p>
          <w:p w14:paraId="4719504B" w14:textId="77777777" w:rsidR="00DF050A" w:rsidRPr="00C94BAA" w:rsidRDefault="00DF050A" w:rsidP="00304825">
            <w:pPr>
              <w:pStyle w:val="ListParagraph"/>
              <w:autoSpaceDE w:val="0"/>
              <w:autoSpaceDN w:val="0"/>
              <w:adjustRightInd w:val="0"/>
              <w:spacing w:after="120" w:line="240" w:lineRule="auto"/>
              <w:ind w:left="565"/>
              <w:rPr>
                <w:rFonts w:ascii="Times New Roman" w:eastAsia="MS Mincho" w:hAnsi="Times New Roman" w:cs="Times New Roman"/>
                <w:b/>
              </w:rPr>
            </w:pPr>
          </w:p>
          <w:p w14:paraId="312A27B0" w14:textId="77777777" w:rsidR="00DF050A" w:rsidRPr="00C94BAA" w:rsidRDefault="00DF050A" w:rsidP="00DF050A">
            <w:pPr>
              <w:pStyle w:val="ListParagraph"/>
              <w:numPr>
                <w:ilvl w:val="0"/>
                <w:numId w:val="33"/>
              </w:numPr>
              <w:autoSpaceDE w:val="0"/>
              <w:autoSpaceDN w:val="0"/>
              <w:adjustRightInd w:val="0"/>
              <w:spacing w:after="120" w:line="240" w:lineRule="auto"/>
              <w:contextualSpacing w:val="0"/>
              <w:rPr>
                <w:rFonts w:ascii="Times New Roman" w:eastAsia="MS Mincho" w:hAnsi="Times New Roman" w:cs="Times New Roman"/>
                <w:b/>
              </w:rPr>
            </w:pPr>
            <w:r w:rsidRPr="00C94BAA">
              <w:rPr>
                <w:rFonts w:ascii="Times New Roman" w:eastAsia="MS Mincho" w:hAnsi="Times New Roman" w:cs="Times New Roman"/>
                <w:bCs/>
              </w:rPr>
              <w:t>Procédures spécifiques pour traiter les plaintes liées à l’EAS/HS, y compris le délai et les possibles sanctions</w:t>
            </w:r>
          </w:p>
          <w:p w14:paraId="394147A1" w14:textId="77777777" w:rsidR="00DF050A" w:rsidRPr="00C94BAA" w:rsidRDefault="00DF050A" w:rsidP="00DF050A">
            <w:pPr>
              <w:pStyle w:val="ListParagraph"/>
              <w:numPr>
                <w:ilvl w:val="0"/>
                <w:numId w:val="33"/>
              </w:numPr>
              <w:autoSpaceDE w:val="0"/>
              <w:autoSpaceDN w:val="0"/>
              <w:adjustRightInd w:val="0"/>
              <w:spacing w:after="120" w:line="240" w:lineRule="auto"/>
              <w:contextualSpacing w:val="0"/>
              <w:rPr>
                <w:rFonts w:ascii="Times New Roman" w:eastAsia="MS Mincho" w:hAnsi="Times New Roman" w:cs="Times New Roman"/>
                <w:b/>
              </w:rPr>
            </w:pPr>
            <w:r w:rsidRPr="00C94BAA">
              <w:rPr>
                <w:rFonts w:ascii="Times New Roman" w:eastAsia="MS Mincho" w:hAnsi="Times New Roman" w:cs="Times New Roman"/>
                <w:bCs/>
              </w:rPr>
              <w:t xml:space="preserve">Procédures pour rapporter les plaintes liées à l’EAS/HS, y </w:t>
            </w:r>
            <w:r w:rsidRPr="00C94BAA">
              <w:rPr>
                <w:rFonts w:ascii="Times New Roman" w:eastAsia="MS Mincho" w:hAnsi="Times New Roman" w:cs="Times New Roman"/>
                <w:bCs/>
              </w:rPr>
              <w:lastRenderedPageBreak/>
              <w:t>compris les voies accessibles aux communautés ciblées et au personnel du projet</w:t>
            </w:r>
          </w:p>
          <w:p w14:paraId="1865CA46" w14:textId="77777777" w:rsidR="00DF050A" w:rsidRPr="00C94BAA" w:rsidRDefault="00DF050A" w:rsidP="00DF050A">
            <w:pPr>
              <w:pStyle w:val="ListParagraph"/>
              <w:numPr>
                <w:ilvl w:val="0"/>
                <w:numId w:val="33"/>
              </w:numPr>
              <w:autoSpaceDE w:val="0"/>
              <w:autoSpaceDN w:val="0"/>
              <w:adjustRightInd w:val="0"/>
              <w:spacing w:after="120" w:line="240" w:lineRule="auto"/>
              <w:contextualSpacing w:val="0"/>
              <w:rPr>
                <w:rFonts w:ascii="Times New Roman" w:eastAsia="MS Mincho" w:hAnsi="Times New Roman" w:cs="Times New Roman"/>
                <w:b/>
              </w:rPr>
            </w:pPr>
            <w:r w:rsidRPr="00C94BAA">
              <w:rPr>
                <w:rFonts w:ascii="Times New Roman" w:eastAsia="MS Mincho" w:hAnsi="Times New Roman" w:cs="Times New Roman"/>
                <w:bCs/>
              </w:rPr>
              <w:t>Obligations concernant les principes directeurs pour le traitement éthique et confidentiel de ce genre des plaintes</w:t>
            </w:r>
          </w:p>
          <w:p w14:paraId="140DB0A8" w14:textId="77777777" w:rsidR="00DF050A" w:rsidRPr="00C94BAA" w:rsidRDefault="00DF050A" w:rsidP="00DF050A">
            <w:pPr>
              <w:pStyle w:val="ListParagraph"/>
              <w:numPr>
                <w:ilvl w:val="0"/>
                <w:numId w:val="39"/>
              </w:numPr>
              <w:tabs>
                <w:tab w:val="left" w:pos="565"/>
              </w:tabs>
              <w:autoSpaceDE w:val="0"/>
              <w:autoSpaceDN w:val="0"/>
              <w:adjustRightInd w:val="0"/>
              <w:spacing w:after="120" w:line="240" w:lineRule="auto"/>
              <w:ind w:left="424" w:hanging="284"/>
              <w:rPr>
                <w:rFonts w:ascii="Times New Roman" w:eastAsia="MS Mincho" w:hAnsi="Times New Roman" w:cs="Times New Roman"/>
                <w:b/>
              </w:rPr>
            </w:pPr>
            <w:r w:rsidRPr="00C94BAA">
              <w:rPr>
                <w:rFonts w:ascii="Times New Roman" w:eastAsia="MS Mincho" w:hAnsi="Times New Roman" w:cs="Times New Roman"/>
                <w:bCs/>
              </w:rPr>
              <w:t>Protocole de réponse et cartographie des services de soutien intégré dans toutes les zones d’intervention, y compris les modalités pour le référencement sûr et confidentiel des cas signalés aux services</w:t>
            </w:r>
          </w:p>
          <w:p w14:paraId="6C3ECC9C" w14:textId="77777777" w:rsidR="00DF050A" w:rsidRPr="00C94BAA" w:rsidRDefault="00DF050A" w:rsidP="00304825">
            <w:pPr>
              <w:pStyle w:val="ListParagraph"/>
              <w:autoSpaceDE w:val="0"/>
              <w:autoSpaceDN w:val="0"/>
              <w:adjustRightInd w:val="0"/>
              <w:spacing w:after="120" w:line="240" w:lineRule="auto"/>
              <w:ind w:left="335"/>
              <w:contextualSpacing w:val="0"/>
              <w:rPr>
                <w:rFonts w:ascii="Times New Roman" w:eastAsia="MS Mincho" w:hAnsi="Times New Roman" w:cs="Times New Roman"/>
                <w:b/>
              </w:rPr>
            </w:pPr>
          </w:p>
        </w:tc>
        <w:tc>
          <w:tcPr>
            <w:tcW w:w="1752" w:type="dxa"/>
          </w:tcPr>
          <w:p w14:paraId="403C63A0" w14:textId="77777777" w:rsidR="00DF050A" w:rsidRPr="008F2979" w:rsidRDefault="00DF050A" w:rsidP="00304825">
            <w:pPr>
              <w:pStyle w:val="BodyText"/>
              <w:spacing w:before="0" w:after="0"/>
              <w:jc w:val="left"/>
              <w:rPr>
                <w:rFonts w:ascii="Times New Roman" w:hAnsi="Times New Roman" w:cs="Times New Roman"/>
                <w:bCs/>
                <w:sz w:val="22"/>
                <w:szCs w:val="22"/>
              </w:rPr>
            </w:pPr>
            <w:r w:rsidRPr="008F2979">
              <w:rPr>
                <w:rFonts w:ascii="Times New Roman" w:hAnsi="Times New Roman" w:cs="Times New Roman"/>
                <w:bCs/>
                <w:sz w:val="22"/>
                <w:szCs w:val="22"/>
              </w:rPr>
              <w:lastRenderedPageBreak/>
              <w:t>-U</w:t>
            </w:r>
            <w:r>
              <w:rPr>
                <w:rFonts w:ascii="Times New Roman" w:hAnsi="Times New Roman" w:cs="Times New Roman"/>
                <w:bCs/>
                <w:sz w:val="22"/>
                <w:szCs w:val="22"/>
              </w:rPr>
              <w:t>C</w:t>
            </w:r>
            <w:r w:rsidRPr="008F2979">
              <w:rPr>
                <w:rFonts w:ascii="Times New Roman" w:hAnsi="Times New Roman" w:cs="Times New Roman"/>
                <w:bCs/>
                <w:sz w:val="22"/>
                <w:szCs w:val="22"/>
              </w:rPr>
              <w:t>P/</w:t>
            </w:r>
          </w:p>
          <w:p w14:paraId="67C6BAC7" w14:textId="77777777" w:rsidR="00DF050A" w:rsidRPr="008F2979" w:rsidRDefault="00DF050A" w:rsidP="00304825">
            <w:pPr>
              <w:pStyle w:val="BodyText"/>
              <w:spacing w:before="0" w:after="0"/>
              <w:jc w:val="left"/>
              <w:rPr>
                <w:rFonts w:ascii="Times New Roman" w:hAnsi="Times New Roman" w:cs="Times New Roman"/>
                <w:bCs/>
                <w:sz w:val="22"/>
                <w:szCs w:val="22"/>
              </w:rPr>
            </w:pPr>
            <w:r w:rsidRPr="008F2979">
              <w:rPr>
                <w:rFonts w:ascii="Times New Roman" w:hAnsi="Times New Roman" w:cs="Times New Roman"/>
                <w:bCs/>
                <w:sz w:val="22"/>
                <w:szCs w:val="22"/>
              </w:rPr>
              <w:t>Coordonnateur</w:t>
            </w:r>
          </w:p>
          <w:p w14:paraId="4DF85356" w14:textId="77777777" w:rsidR="00DF050A" w:rsidRPr="008F2979" w:rsidRDefault="00DF050A" w:rsidP="00304825">
            <w:pPr>
              <w:pStyle w:val="BodyText"/>
              <w:spacing w:before="0" w:after="0"/>
              <w:jc w:val="left"/>
              <w:rPr>
                <w:rFonts w:ascii="Times New Roman" w:hAnsi="Times New Roman" w:cs="Times New Roman"/>
                <w:bCs/>
                <w:sz w:val="22"/>
                <w:szCs w:val="22"/>
              </w:rPr>
            </w:pPr>
          </w:p>
          <w:p w14:paraId="4AA1EB6D" w14:textId="77777777" w:rsidR="00DF050A" w:rsidRPr="008F2979" w:rsidRDefault="00DF050A" w:rsidP="00304825">
            <w:pPr>
              <w:pStyle w:val="BodyText"/>
              <w:spacing w:before="0" w:after="0"/>
              <w:jc w:val="left"/>
              <w:rPr>
                <w:rFonts w:ascii="Times New Roman" w:hAnsi="Times New Roman" w:cs="Times New Roman"/>
                <w:bCs/>
                <w:sz w:val="22"/>
                <w:szCs w:val="22"/>
              </w:rPr>
            </w:pPr>
            <w:r w:rsidRPr="008F2979">
              <w:rPr>
                <w:rFonts w:ascii="Times New Roman" w:hAnsi="Times New Roman" w:cs="Times New Roman"/>
                <w:bCs/>
                <w:sz w:val="22"/>
                <w:szCs w:val="22"/>
              </w:rPr>
              <w:t>-Expert en VBG</w:t>
            </w:r>
          </w:p>
          <w:p w14:paraId="40D17EA1" w14:textId="77777777" w:rsidR="00DF050A" w:rsidRPr="008F2979" w:rsidRDefault="00DF050A" w:rsidP="00304825">
            <w:pPr>
              <w:pStyle w:val="BodyText"/>
              <w:spacing w:before="0" w:after="0"/>
              <w:jc w:val="left"/>
              <w:rPr>
                <w:rFonts w:ascii="Times New Roman" w:hAnsi="Times New Roman" w:cs="Times New Roman"/>
                <w:bCs/>
                <w:sz w:val="22"/>
                <w:szCs w:val="22"/>
              </w:rPr>
            </w:pPr>
          </w:p>
          <w:p w14:paraId="3FF3ABA6" w14:textId="77777777" w:rsidR="00DF050A" w:rsidRPr="008F2979" w:rsidRDefault="00DF050A" w:rsidP="00304825">
            <w:pPr>
              <w:pStyle w:val="BodyText"/>
              <w:spacing w:before="0" w:after="0"/>
              <w:jc w:val="left"/>
              <w:rPr>
                <w:rFonts w:ascii="Times New Roman" w:hAnsi="Times New Roman" w:cs="Times New Roman"/>
                <w:bCs/>
                <w:sz w:val="22"/>
                <w:szCs w:val="22"/>
              </w:rPr>
            </w:pPr>
            <w:r w:rsidRPr="008F2979">
              <w:rPr>
                <w:rFonts w:ascii="Times New Roman" w:hAnsi="Times New Roman" w:cs="Times New Roman"/>
                <w:bCs/>
                <w:sz w:val="22"/>
                <w:szCs w:val="22"/>
              </w:rPr>
              <w:t xml:space="preserve">-Expert Psychologue </w:t>
            </w:r>
          </w:p>
          <w:p w14:paraId="020CCBE3" w14:textId="77777777" w:rsidR="00DF050A" w:rsidRPr="008F2979" w:rsidRDefault="00DF050A" w:rsidP="00304825">
            <w:pPr>
              <w:pStyle w:val="BodyText"/>
              <w:spacing w:before="0" w:after="0"/>
              <w:jc w:val="left"/>
              <w:rPr>
                <w:rFonts w:ascii="Times New Roman" w:hAnsi="Times New Roman" w:cs="Times New Roman"/>
                <w:bCs/>
                <w:sz w:val="22"/>
                <w:szCs w:val="22"/>
              </w:rPr>
            </w:pPr>
          </w:p>
          <w:p w14:paraId="3FF66901" w14:textId="77777777" w:rsidR="00DF050A" w:rsidRPr="008F2979" w:rsidRDefault="00DF050A" w:rsidP="00304825">
            <w:pPr>
              <w:pStyle w:val="BodyText"/>
              <w:spacing w:before="0" w:after="0"/>
              <w:jc w:val="left"/>
              <w:rPr>
                <w:rFonts w:ascii="Times New Roman" w:hAnsi="Times New Roman" w:cs="Times New Roman"/>
                <w:bCs/>
                <w:sz w:val="22"/>
                <w:szCs w:val="22"/>
              </w:rPr>
            </w:pPr>
            <w:r w:rsidRPr="008F2979">
              <w:rPr>
                <w:rFonts w:ascii="Times New Roman" w:hAnsi="Times New Roman" w:cs="Times New Roman"/>
                <w:bCs/>
                <w:sz w:val="22"/>
                <w:szCs w:val="22"/>
              </w:rPr>
              <w:t xml:space="preserve">-Médecin spécialiste en VBG </w:t>
            </w:r>
          </w:p>
          <w:p w14:paraId="6B272547" w14:textId="77777777" w:rsidR="00DF050A" w:rsidRPr="008F2979" w:rsidRDefault="00DF050A" w:rsidP="00304825">
            <w:pPr>
              <w:pStyle w:val="BodyText"/>
              <w:spacing w:before="0" w:after="0"/>
              <w:jc w:val="left"/>
              <w:rPr>
                <w:rFonts w:ascii="Times New Roman" w:hAnsi="Times New Roman" w:cs="Times New Roman"/>
                <w:bCs/>
                <w:sz w:val="22"/>
                <w:szCs w:val="22"/>
              </w:rPr>
            </w:pPr>
          </w:p>
          <w:p w14:paraId="57CE046F" w14:textId="77777777" w:rsidR="00DF050A" w:rsidRPr="008F2979" w:rsidRDefault="00DF050A" w:rsidP="00304825">
            <w:pPr>
              <w:pStyle w:val="BodyText"/>
              <w:spacing w:before="0" w:after="0"/>
              <w:jc w:val="left"/>
              <w:rPr>
                <w:rFonts w:ascii="Times New Roman" w:hAnsi="Times New Roman" w:cs="Times New Roman"/>
                <w:bCs/>
                <w:sz w:val="22"/>
                <w:szCs w:val="22"/>
              </w:rPr>
            </w:pPr>
            <w:r w:rsidRPr="008F2979">
              <w:rPr>
                <w:rFonts w:ascii="Times New Roman" w:hAnsi="Times New Roman" w:cs="Times New Roman"/>
                <w:bCs/>
                <w:sz w:val="22"/>
                <w:szCs w:val="22"/>
              </w:rPr>
              <w:t xml:space="preserve">-Expert en sciences de l’éducation </w:t>
            </w:r>
          </w:p>
          <w:p w14:paraId="158D090B" w14:textId="77777777" w:rsidR="00DF050A" w:rsidRPr="008F2979" w:rsidRDefault="00DF050A" w:rsidP="00304825">
            <w:pPr>
              <w:pStyle w:val="BodyText"/>
              <w:spacing w:before="0" w:after="0"/>
              <w:jc w:val="left"/>
              <w:rPr>
                <w:rFonts w:ascii="Times New Roman" w:hAnsi="Times New Roman" w:cs="Times New Roman"/>
                <w:bCs/>
                <w:sz w:val="22"/>
                <w:szCs w:val="22"/>
              </w:rPr>
            </w:pPr>
          </w:p>
          <w:p w14:paraId="5EA0A1FE" w14:textId="77777777" w:rsidR="00DF050A" w:rsidRPr="008F2979" w:rsidRDefault="00DF050A" w:rsidP="00304825">
            <w:pPr>
              <w:pStyle w:val="BodyText"/>
              <w:spacing w:before="0" w:after="0"/>
              <w:jc w:val="left"/>
              <w:rPr>
                <w:rFonts w:ascii="Times New Roman" w:hAnsi="Times New Roman" w:cs="Times New Roman"/>
                <w:bCs/>
                <w:sz w:val="22"/>
                <w:szCs w:val="22"/>
              </w:rPr>
            </w:pPr>
            <w:r w:rsidRPr="008F2979">
              <w:rPr>
                <w:rFonts w:ascii="Times New Roman" w:hAnsi="Times New Roman" w:cs="Times New Roman"/>
                <w:bCs/>
                <w:sz w:val="22"/>
                <w:szCs w:val="22"/>
              </w:rPr>
              <w:lastRenderedPageBreak/>
              <w:t xml:space="preserve">-Expert en sauvegardes  sociales </w:t>
            </w:r>
          </w:p>
          <w:p w14:paraId="5373738D" w14:textId="77777777" w:rsidR="00DF050A" w:rsidRPr="008F2979" w:rsidRDefault="00DF050A" w:rsidP="00304825">
            <w:pPr>
              <w:pStyle w:val="BodyText"/>
              <w:spacing w:before="0" w:after="0"/>
              <w:jc w:val="left"/>
              <w:rPr>
                <w:rFonts w:ascii="Times New Roman" w:hAnsi="Times New Roman" w:cs="Times New Roman"/>
                <w:bCs/>
                <w:sz w:val="22"/>
                <w:szCs w:val="22"/>
              </w:rPr>
            </w:pPr>
          </w:p>
          <w:p w14:paraId="0F24BFBE" w14:textId="77777777" w:rsidR="00DF050A" w:rsidRPr="008F2979" w:rsidRDefault="00DF050A" w:rsidP="00304825">
            <w:pPr>
              <w:pStyle w:val="BodyText"/>
              <w:spacing w:before="0" w:after="0"/>
              <w:jc w:val="left"/>
              <w:rPr>
                <w:rFonts w:ascii="Times New Roman" w:hAnsi="Times New Roman" w:cs="Times New Roman"/>
                <w:bCs/>
                <w:sz w:val="22"/>
                <w:szCs w:val="22"/>
              </w:rPr>
            </w:pPr>
            <w:r w:rsidRPr="008F2979">
              <w:rPr>
                <w:rFonts w:ascii="Times New Roman" w:hAnsi="Times New Roman" w:cs="Times New Roman"/>
                <w:bCs/>
                <w:sz w:val="22"/>
                <w:szCs w:val="22"/>
              </w:rPr>
              <w:t>-</w:t>
            </w:r>
            <w:r w:rsidRPr="008F2979">
              <w:rPr>
                <w:rFonts w:ascii="Times New Roman" w:hAnsi="Times New Roman" w:cs="Times New Roman"/>
                <w:sz w:val="22"/>
                <w:szCs w:val="22"/>
              </w:rPr>
              <w:t xml:space="preserve"> ONG et les Conseils de Collectivités</w:t>
            </w:r>
          </w:p>
          <w:p w14:paraId="0FDC957F" w14:textId="77777777" w:rsidR="00DF050A" w:rsidRDefault="00DF050A" w:rsidP="00304825">
            <w:pPr>
              <w:pStyle w:val="BodyText"/>
              <w:spacing w:before="0" w:after="0"/>
              <w:jc w:val="left"/>
              <w:rPr>
                <w:rFonts w:ascii="Times New Roman" w:hAnsi="Times New Roman" w:cs="Times New Roman"/>
                <w:bCs/>
                <w:sz w:val="22"/>
                <w:szCs w:val="22"/>
              </w:rPr>
            </w:pPr>
          </w:p>
          <w:p w14:paraId="1C5FE8D4" w14:textId="77777777" w:rsidR="00DF050A" w:rsidRDefault="00DF050A" w:rsidP="00304825">
            <w:pPr>
              <w:pStyle w:val="BodyText"/>
              <w:spacing w:before="0" w:after="0"/>
              <w:jc w:val="left"/>
              <w:rPr>
                <w:rFonts w:ascii="Times New Roman" w:hAnsi="Times New Roman" w:cs="Times New Roman"/>
                <w:bCs/>
                <w:sz w:val="22"/>
                <w:szCs w:val="22"/>
              </w:rPr>
            </w:pPr>
          </w:p>
          <w:p w14:paraId="2673CFA1" w14:textId="77777777" w:rsidR="00DF050A" w:rsidRPr="008F2979" w:rsidRDefault="00DF050A" w:rsidP="00304825">
            <w:pPr>
              <w:pStyle w:val="BodyText"/>
              <w:spacing w:before="0" w:after="0"/>
              <w:jc w:val="left"/>
              <w:rPr>
                <w:rFonts w:ascii="Times New Roman" w:hAnsi="Times New Roman" w:cs="Times New Roman"/>
                <w:bCs/>
                <w:sz w:val="22"/>
                <w:szCs w:val="22"/>
              </w:rPr>
            </w:pPr>
            <w:r>
              <w:rPr>
                <w:rFonts w:ascii="Times New Roman" w:hAnsi="Times New Roman" w:cs="Times New Roman"/>
                <w:sz w:val="22"/>
                <w:szCs w:val="22"/>
              </w:rPr>
              <w:t xml:space="preserve">Centre d’apprentissage et écoles </w:t>
            </w:r>
            <w:r w:rsidRPr="000E54D9">
              <w:rPr>
                <w:rFonts w:ascii="Times New Roman" w:eastAsia="MS Mincho" w:hAnsi="Times New Roman" w:cs="Times New Roman"/>
                <w:bCs/>
                <w:i/>
                <w:iCs/>
              </w:rPr>
              <w:t>(en complémentarité avec le projet Education PAPSE II</w:t>
            </w:r>
            <w:r>
              <w:rPr>
                <w:rFonts w:ascii="Times New Roman" w:eastAsia="MS Mincho" w:hAnsi="Times New Roman" w:cs="Times New Roman"/>
                <w:bCs/>
                <w:i/>
                <w:iCs/>
              </w:rPr>
              <w:t>)</w:t>
            </w:r>
          </w:p>
          <w:p w14:paraId="43F11952" w14:textId="77777777" w:rsidR="00DF050A" w:rsidRPr="008F2979" w:rsidRDefault="00DF050A" w:rsidP="00304825">
            <w:pPr>
              <w:pStyle w:val="BodyText"/>
              <w:spacing w:before="0" w:after="0"/>
              <w:jc w:val="left"/>
              <w:rPr>
                <w:rFonts w:ascii="Times New Roman" w:hAnsi="Times New Roman" w:cs="Times New Roman"/>
                <w:bCs/>
                <w:sz w:val="22"/>
                <w:szCs w:val="22"/>
              </w:rPr>
            </w:pPr>
          </w:p>
        </w:tc>
        <w:tc>
          <w:tcPr>
            <w:tcW w:w="1711" w:type="dxa"/>
          </w:tcPr>
          <w:p w14:paraId="136543B8" w14:textId="77777777" w:rsidR="00DF050A" w:rsidRPr="00C94BAA" w:rsidRDefault="00DF050A" w:rsidP="00304825">
            <w:pPr>
              <w:pStyle w:val="BodyText"/>
              <w:spacing w:before="0" w:after="0"/>
              <w:jc w:val="left"/>
              <w:rPr>
                <w:rFonts w:ascii="Times New Roman" w:hAnsi="Times New Roman" w:cs="Times New Roman"/>
                <w:bCs/>
                <w:sz w:val="22"/>
                <w:szCs w:val="22"/>
              </w:rPr>
            </w:pPr>
            <w:r>
              <w:rPr>
                <w:rFonts w:ascii="Times New Roman" w:hAnsi="Times New Roman" w:cs="Times New Roman"/>
                <w:sz w:val="22"/>
                <w:szCs w:val="22"/>
              </w:rPr>
              <w:lastRenderedPageBreak/>
              <w:t>Avant le début de</w:t>
            </w:r>
            <w:r w:rsidRPr="008F2979">
              <w:rPr>
                <w:rFonts w:ascii="Times New Roman" w:hAnsi="Times New Roman" w:cs="Times New Roman"/>
                <w:sz w:val="22"/>
                <w:szCs w:val="22"/>
              </w:rPr>
              <w:t xml:space="preserve"> mise en œuvre du Projet</w:t>
            </w:r>
          </w:p>
        </w:tc>
        <w:tc>
          <w:tcPr>
            <w:tcW w:w="2261" w:type="dxa"/>
            <w:shd w:val="clear" w:color="auto" w:fill="FFFFFF" w:themeFill="background1"/>
          </w:tcPr>
          <w:p w14:paraId="2EE3B705" w14:textId="77777777" w:rsidR="00DF050A" w:rsidRPr="00C94BAA" w:rsidRDefault="00DF050A" w:rsidP="00DF050A">
            <w:pPr>
              <w:pStyle w:val="ListParagraph"/>
              <w:numPr>
                <w:ilvl w:val="0"/>
                <w:numId w:val="40"/>
              </w:numPr>
              <w:autoSpaceDE w:val="0"/>
              <w:autoSpaceDN w:val="0"/>
              <w:adjustRightInd w:val="0"/>
              <w:spacing w:after="120" w:line="240" w:lineRule="auto"/>
              <w:ind w:left="234" w:hanging="142"/>
              <w:contextualSpacing w:val="0"/>
              <w:rPr>
                <w:rFonts w:ascii="Times New Roman" w:eastAsia="MS Mincho" w:hAnsi="Times New Roman" w:cs="Times New Roman"/>
                <w:b/>
              </w:rPr>
            </w:pPr>
            <w:r w:rsidRPr="00C94BAA">
              <w:rPr>
                <w:rFonts w:ascii="Times New Roman" w:eastAsia="MS Mincho" w:hAnsi="Times New Roman" w:cs="Times New Roman"/>
                <w:b/>
              </w:rPr>
              <w:t>Plan de redevabilité et réponse :</w:t>
            </w:r>
          </w:p>
          <w:p w14:paraId="70F11819" w14:textId="77777777" w:rsidR="00DF050A" w:rsidRPr="00C94BAA" w:rsidRDefault="00DF050A" w:rsidP="00304825">
            <w:pPr>
              <w:pStyle w:val="BodyText"/>
              <w:spacing w:before="0" w:after="0"/>
              <w:jc w:val="left"/>
              <w:rPr>
                <w:rFonts w:ascii="Times New Roman" w:hAnsi="Times New Roman" w:cs="Times New Roman"/>
                <w:b/>
                <w:bCs/>
                <w:sz w:val="22"/>
                <w:szCs w:val="22"/>
              </w:rPr>
            </w:pPr>
            <w:r w:rsidRPr="00C94BAA">
              <w:rPr>
                <w:rFonts w:ascii="Times New Roman" w:hAnsi="Times New Roman" w:cs="Times New Roman"/>
                <w:bCs/>
                <w:sz w:val="22"/>
                <w:szCs w:val="22"/>
              </w:rPr>
              <w:t>% des travailleurs et du personnel du projet qui ont signé les codes de conduite</w:t>
            </w:r>
          </w:p>
          <w:p w14:paraId="6C367CC0" w14:textId="77777777" w:rsidR="00DF050A" w:rsidRPr="00C94BAA" w:rsidRDefault="00DF050A" w:rsidP="00304825">
            <w:pPr>
              <w:pStyle w:val="BodyText"/>
              <w:spacing w:before="0" w:after="0"/>
              <w:jc w:val="left"/>
              <w:rPr>
                <w:rFonts w:ascii="Times New Roman" w:hAnsi="Times New Roman" w:cs="Times New Roman"/>
                <w:bCs/>
                <w:sz w:val="22"/>
                <w:szCs w:val="22"/>
              </w:rPr>
            </w:pPr>
          </w:p>
          <w:p w14:paraId="015CD3C1" w14:textId="77777777" w:rsidR="00DF050A" w:rsidRPr="00C94BAA" w:rsidRDefault="00DF050A" w:rsidP="00304825">
            <w:pPr>
              <w:pStyle w:val="BodyText"/>
              <w:spacing w:before="0" w:after="0"/>
              <w:jc w:val="left"/>
              <w:rPr>
                <w:rFonts w:ascii="Times New Roman" w:hAnsi="Times New Roman" w:cs="Times New Roman"/>
                <w:bCs/>
                <w:sz w:val="22"/>
                <w:szCs w:val="22"/>
              </w:rPr>
            </w:pPr>
            <w:r w:rsidRPr="00C94BAA">
              <w:rPr>
                <w:rFonts w:ascii="Times New Roman" w:hAnsi="Times New Roman" w:cs="Times New Roman"/>
                <w:bCs/>
                <w:sz w:val="22"/>
                <w:szCs w:val="22"/>
              </w:rPr>
              <w:t>Nombre de plaintes liées à l’EAS/HS qui sont reçues à travers le MGP</w:t>
            </w:r>
            <w:r w:rsidRPr="00C94BAA">
              <w:rPr>
                <w:rStyle w:val="FootnoteReference"/>
                <w:rFonts w:ascii="Times New Roman" w:hAnsi="Times New Roman" w:cs="Times New Roman"/>
                <w:bCs/>
                <w:sz w:val="22"/>
                <w:szCs w:val="22"/>
              </w:rPr>
              <w:footnoteReference w:id="53"/>
            </w:r>
          </w:p>
          <w:p w14:paraId="61344C48" w14:textId="77777777" w:rsidR="00DF050A" w:rsidRPr="00C94BAA" w:rsidRDefault="00DF050A" w:rsidP="00304825">
            <w:pPr>
              <w:pStyle w:val="BodyText"/>
              <w:spacing w:before="0" w:after="0"/>
              <w:jc w:val="left"/>
              <w:rPr>
                <w:rFonts w:ascii="Times New Roman" w:hAnsi="Times New Roman" w:cs="Times New Roman"/>
                <w:bCs/>
                <w:sz w:val="22"/>
                <w:szCs w:val="22"/>
              </w:rPr>
            </w:pPr>
          </w:p>
          <w:p w14:paraId="2E5F56B3" w14:textId="77777777" w:rsidR="00DF050A" w:rsidRPr="00C94BAA" w:rsidRDefault="00DF050A" w:rsidP="00304825">
            <w:pPr>
              <w:pStyle w:val="BodyText"/>
              <w:spacing w:before="0" w:after="0"/>
              <w:jc w:val="left"/>
              <w:rPr>
                <w:rFonts w:ascii="Times New Roman" w:hAnsi="Times New Roman" w:cs="Times New Roman"/>
                <w:bCs/>
                <w:sz w:val="22"/>
                <w:szCs w:val="22"/>
              </w:rPr>
            </w:pPr>
            <w:r w:rsidRPr="00C94BAA">
              <w:rPr>
                <w:rFonts w:ascii="Times New Roman" w:hAnsi="Times New Roman" w:cs="Times New Roman"/>
                <w:bCs/>
                <w:sz w:val="22"/>
                <w:szCs w:val="22"/>
              </w:rPr>
              <w:t>% des plaintes liées à l’EAS/HS qui sont référées aux services</w:t>
            </w:r>
          </w:p>
          <w:p w14:paraId="1A8DEF97" w14:textId="77777777" w:rsidR="00DF050A" w:rsidRPr="00C94BAA" w:rsidRDefault="00DF050A" w:rsidP="00304825">
            <w:pPr>
              <w:pStyle w:val="BodyText"/>
              <w:spacing w:before="0" w:after="0"/>
              <w:jc w:val="left"/>
              <w:rPr>
                <w:rFonts w:ascii="Times New Roman" w:hAnsi="Times New Roman" w:cs="Times New Roman"/>
                <w:bCs/>
                <w:sz w:val="22"/>
                <w:szCs w:val="22"/>
              </w:rPr>
            </w:pPr>
          </w:p>
          <w:p w14:paraId="522D302C" w14:textId="77777777" w:rsidR="00DF050A" w:rsidRPr="00C94BAA" w:rsidRDefault="00DF050A" w:rsidP="00304825">
            <w:pPr>
              <w:pStyle w:val="BodyText"/>
              <w:spacing w:before="0" w:after="0"/>
              <w:jc w:val="left"/>
              <w:rPr>
                <w:rFonts w:ascii="Times New Roman" w:hAnsi="Times New Roman" w:cs="Times New Roman"/>
                <w:bCs/>
                <w:sz w:val="22"/>
                <w:szCs w:val="22"/>
              </w:rPr>
            </w:pPr>
            <w:r w:rsidRPr="00C94BAA">
              <w:rPr>
                <w:rFonts w:ascii="Times New Roman" w:hAnsi="Times New Roman" w:cs="Times New Roman"/>
                <w:bCs/>
                <w:sz w:val="22"/>
                <w:szCs w:val="22"/>
              </w:rPr>
              <w:t>% des plaintes liées à l’EAS/HS qui sont résolues dans le délai prévu</w:t>
            </w:r>
          </w:p>
          <w:p w14:paraId="2A9DEA4B" w14:textId="77777777" w:rsidR="00DF050A" w:rsidRPr="00C94BAA" w:rsidRDefault="00DF050A" w:rsidP="00304825">
            <w:pPr>
              <w:pStyle w:val="BodyText"/>
              <w:spacing w:before="0" w:after="0"/>
              <w:jc w:val="left"/>
              <w:rPr>
                <w:rFonts w:ascii="Times New Roman" w:hAnsi="Times New Roman" w:cs="Times New Roman"/>
                <w:bCs/>
                <w:sz w:val="22"/>
                <w:szCs w:val="22"/>
              </w:rPr>
            </w:pPr>
          </w:p>
          <w:p w14:paraId="0731FEB7" w14:textId="77777777" w:rsidR="00DF050A" w:rsidRPr="00C94BAA" w:rsidRDefault="00DF050A" w:rsidP="00304825">
            <w:pPr>
              <w:pStyle w:val="BodyText"/>
              <w:spacing w:before="0" w:after="0"/>
              <w:jc w:val="left"/>
              <w:rPr>
                <w:rFonts w:ascii="Times New Roman" w:hAnsi="Times New Roman" w:cs="Times New Roman"/>
                <w:bCs/>
                <w:sz w:val="22"/>
                <w:szCs w:val="22"/>
              </w:rPr>
            </w:pPr>
            <w:r w:rsidRPr="00C94BAA">
              <w:rPr>
                <w:rFonts w:ascii="Times New Roman" w:hAnsi="Times New Roman" w:cs="Times New Roman"/>
                <w:bCs/>
                <w:sz w:val="22"/>
                <w:szCs w:val="22"/>
              </w:rPr>
              <w:t>Moyen du délai pour résoudre une plainte liée à l’EAS/HS</w:t>
            </w:r>
          </w:p>
          <w:p w14:paraId="24056030" w14:textId="77777777" w:rsidR="00DF050A" w:rsidRPr="00C94BAA" w:rsidRDefault="00DF050A" w:rsidP="00304825">
            <w:pPr>
              <w:pStyle w:val="BodyText"/>
              <w:spacing w:before="0" w:after="0"/>
              <w:jc w:val="left"/>
              <w:rPr>
                <w:rFonts w:ascii="Times New Roman" w:hAnsi="Times New Roman" w:cs="Times New Roman"/>
                <w:bCs/>
                <w:sz w:val="22"/>
                <w:szCs w:val="22"/>
              </w:rPr>
            </w:pPr>
          </w:p>
          <w:p w14:paraId="7D47E3A1" w14:textId="77777777" w:rsidR="00DF050A" w:rsidRPr="00C94BAA" w:rsidRDefault="00DF050A" w:rsidP="00304825">
            <w:pPr>
              <w:pStyle w:val="BodyText"/>
              <w:spacing w:before="0" w:after="0"/>
              <w:jc w:val="left"/>
              <w:rPr>
                <w:rFonts w:ascii="Times New Roman" w:hAnsi="Times New Roman" w:cs="Times New Roman"/>
                <w:bCs/>
                <w:sz w:val="22"/>
                <w:szCs w:val="22"/>
              </w:rPr>
            </w:pPr>
          </w:p>
          <w:p w14:paraId="49F4A1A8" w14:textId="77777777" w:rsidR="00DF050A" w:rsidRPr="00C94BAA" w:rsidRDefault="00DF050A" w:rsidP="00304825">
            <w:pPr>
              <w:pStyle w:val="BodyText"/>
              <w:spacing w:before="0" w:after="0"/>
              <w:jc w:val="left"/>
              <w:rPr>
                <w:rFonts w:ascii="Times New Roman" w:hAnsi="Times New Roman" w:cs="Times New Roman"/>
                <w:bCs/>
                <w:sz w:val="22"/>
                <w:szCs w:val="22"/>
              </w:rPr>
            </w:pPr>
          </w:p>
          <w:p w14:paraId="48EA81C6" w14:textId="77777777" w:rsidR="00DF050A" w:rsidRPr="00C94BAA" w:rsidRDefault="00DF050A" w:rsidP="00304825">
            <w:pPr>
              <w:pStyle w:val="BodyText"/>
              <w:spacing w:before="0" w:after="0"/>
              <w:jc w:val="left"/>
              <w:rPr>
                <w:rFonts w:ascii="Times New Roman" w:hAnsi="Times New Roman" w:cs="Times New Roman"/>
                <w:bCs/>
                <w:sz w:val="22"/>
                <w:szCs w:val="22"/>
              </w:rPr>
            </w:pPr>
          </w:p>
          <w:p w14:paraId="6781574D" w14:textId="77777777" w:rsidR="00DF050A" w:rsidRPr="00C94BAA" w:rsidRDefault="00DF050A" w:rsidP="00304825">
            <w:pPr>
              <w:pStyle w:val="BodyText"/>
              <w:spacing w:before="0" w:after="0"/>
              <w:jc w:val="left"/>
              <w:rPr>
                <w:rFonts w:ascii="Times New Roman" w:hAnsi="Times New Roman" w:cs="Times New Roman"/>
                <w:bCs/>
                <w:sz w:val="22"/>
                <w:szCs w:val="22"/>
              </w:rPr>
            </w:pPr>
          </w:p>
          <w:p w14:paraId="67FF2506" w14:textId="77777777" w:rsidR="00DF050A" w:rsidRPr="00C94BAA" w:rsidRDefault="00DF050A" w:rsidP="00304825">
            <w:pPr>
              <w:pStyle w:val="BodyText"/>
              <w:spacing w:before="0" w:after="0"/>
              <w:jc w:val="left"/>
              <w:rPr>
                <w:rFonts w:ascii="Times New Roman" w:hAnsi="Times New Roman" w:cs="Times New Roman"/>
                <w:bCs/>
                <w:sz w:val="22"/>
                <w:szCs w:val="22"/>
              </w:rPr>
            </w:pPr>
          </w:p>
          <w:p w14:paraId="423C4147" w14:textId="77777777" w:rsidR="00DF050A" w:rsidRPr="00C94BAA" w:rsidRDefault="00DF050A" w:rsidP="00304825">
            <w:pPr>
              <w:pStyle w:val="BodyText"/>
              <w:spacing w:before="0" w:after="0"/>
              <w:jc w:val="left"/>
              <w:rPr>
                <w:rFonts w:ascii="Times New Roman" w:hAnsi="Times New Roman" w:cs="Times New Roman"/>
                <w:bCs/>
                <w:sz w:val="22"/>
                <w:szCs w:val="22"/>
              </w:rPr>
            </w:pPr>
          </w:p>
          <w:p w14:paraId="1CA1226D" w14:textId="77777777" w:rsidR="00DF050A" w:rsidRPr="00C94BAA" w:rsidRDefault="00DF050A" w:rsidP="00304825">
            <w:pPr>
              <w:pStyle w:val="BodyText"/>
              <w:spacing w:before="0" w:after="0"/>
              <w:jc w:val="left"/>
              <w:rPr>
                <w:rFonts w:ascii="Times New Roman" w:hAnsi="Times New Roman" w:cs="Times New Roman"/>
                <w:bCs/>
                <w:sz w:val="22"/>
                <w:szCs w:val="22"/>
              </w:rPr>
            </w:pPr>
          </w:p>
          <w:p w14:paraId="6CB27D12" w14:textId="77777777" w:rsidR="00DF050A" w:rsidRPr="00C94BAA" w:rsidRDefault="00DF050A" w:rsidP="00304825">
            <w:pPr>
              <w:pStyle w:val="BodyText"/>
              <w:spacing w:before="0" w:after="0"/>
              <w:jc w:val="left"/>
              <w:rPr>
                <w:rFonts w:ascii="Times New Roman" w:hAnsi="Times New Roman" w:cs="Times New Roman"/>
                <w:bCs/>
                <w:sz w:val="22"/>
                <w:szCs w:val="22"/>
              </w:rPr>
            </w:pPr>
          </w:p>
          <w:p w14:paraId="167514B3" w14:textId="77777777" w:rsidR="00DF050A" w:rsidRPr="00C94BAA" w:rsidRDefault="00DF050A" w:rsidP="00304825">
            <w:pPr>
              <w:pStyle w:val="BodyText"/>
              <w:spacing w:before="0" w:after="0"/>
              <w:jc w:val="left"/>
              <w:rPr>
                <w:rFonts w:ascii="Times New Roman" w:hAnsi="Times New Roman" w:cs="Times New Roman"/>
                <w:bCs/>
                <w:sz w:val="22"/>
                <w:szCs w:val="22"/>
              </w:rPr>
            </w:pPr>
          </w:p>
          <w:p w14:paraId="24A7E5EE" w14:textId="77777777" w:rsidR="00DF050A" w:rsidRPr="00C94BAA" w:rsidRDefault="00DF050A" w:rsidP="00304825">
            <w:pPr>
              <w:pStyle w:val="BodyText"/>
              <w:spacing w:before="0" w:after="0"/>
              <w:jc w:val="left"/>
              <w:rPr>
                <w:rFonts w:ascii="Times New Roman" w:hAnsi="Times New Roman" w:cs="Times New Roman"/>
                <w:bCs/>
                <w:sz w:val="22"/>
                <w:szCs w:val="22"/>
              </w:rPr>
            </w:pPr>
          </w:p>
          <w:p w14:paraId="582C9933" w14:textId="77777777" w:rsidR="00DF050A" w:rsidRPr="00C94BAA" w:rsidRDefault="00DF050A" w:rsidP="00304825">
            <w:pPr>
              <w:pStyle w:val="BodyText"/>
              <w:spacing w:before="0" w:after="0"/>
              <w:jc w:val="left"/>
              <w:rPr>
                <w:rFonts w:ascii="Times New Roman" w:hAnsi="Times New Roman" w:cs="Times New Roman"/>
                <w:bCs/>
                <w:sz w:val="22"/>
                <w:szCs w:val="22"/>
              </w:rPr>
            </w:pPr>
          </w:p>
          <w:p w14:paraId="41FE2D24" w14:textId="77777777" w:rsidR="00DF050A" w:rsidRPr="00C94BAA" w:rsidRDefault="00DF050A" w:rsidP="00304825">
            <w:pPr>
              <w:pStyle w:val="BodyText"/>
              <w:spacing w:before="0" w:after="0"/>
              <w:jc w:val="left"/>
              <w:rPr>
                <w:rFonts w:ascii="Times New Roman" w:hAnsi="Times New Roman" w:cs="Times New Roman"/>
                <w:bCs/>
                <w:sz w:val="22"/>
                <w:szCs w:val="22"/>
              </w:rPr>
            </w:pPr>
          </w:p>
          <w:p w14:paraId="4F16A255" w14:textId="77777777" w:rsidR="00DF050A" w:rsidRPr="00C94BAA" w:rsidRDefault="00DF050A" w:rsidP="00304825">
            <w:pPr>
              <w:pStyle w:val="BodyText"/>
              <w:spacing w:before="0" w:after="0"/>
              <w:jc w:val="left"/>
              <w:rPr>
                <w:rFonts w:ascii="Times New Roman" w:hAnsi="Times New Roman" w:cs="Times New Roman"/>
                <w:bCs/>
                <w:sz w:val="22"/>
                <w:szCs w:val="22"/>
              </w:rPr>
            </w:pPr>
          </w:p>
          <w:p w14:paraId="325E7211" w14:textId="77777777" w:rsidR="00DF050A" w:rsidRPr="00C94BAA" w:rsidRDefault="00DF050A" w:rsidP="00304825">
            <w:pPr>
              <w:pStyle w:val="BodyText"/>
              <w:spacing w:before="0" w:after="0"/>
              <w:jc w:val="left"/>
              <w:rPr>
                <w:rFonts w:ascii="Times New Roman" w:hAnsi="Times New Roman" w:cs="Times New Roman"/>
                <w:bCs/>
                <w:sz w:val="22"/>
                <w:szCs w:val="22"/>
              </w:rPr>
            </w:pPr>
          </w:p>
          <w:p w14:paraId="6C4AD22F" w14:textId="77777777" w:rsidR="00DF050A" w:rsidRPr="00C94BAA" w:rsidRDefault="00DF050A" w:rsidP="00304825">
            <w:pPr>
              <w:pStyle w:val="BodyText"/>
              <w:spacing w:before="0" w:after="0"/>
              <w:jc w:val="left"/>
              <w:rPr>
                <w:rFonts w:ascii="Times New Roman" w:hAnsi="Times New Roman" w:cs="Times New Roman"/>
                <w:bCs/>
                <w:sz w:val="22"/>
                <w:szCs w:val="22"/>
              </w:rPr>
            </w:pPr>
          </w:p>
          <w:p w14:paraId="0D6E5761" w14:textId="77777777" w:rsidR="00DF050A" w:rsidRPr="00C94BAA" w:rsidRDefault="00DF050A" w:rsidP="00304825">
            <w:pPr>
              <w:pStyle w:val="BodyText"/>
              <w:spacing w:before="0" w:after="0"/>
              <w:jc w:val="left"/>
              <w:rPr>
                <w:rFonts w:ascii="Times New Roman" w:hAnsi="Times New Roman" w:cs="Times New Roman"/>
                <w:bCs/>
                <w:sz w:val="22"/>
                <w:szCs w:val="22"/>
              </w:rPr>
            </w:pPr>
          </w:p>
          <w:p w14:paraId="5D1AD2EB" w14:textId="77777777" w:rsidR="00DF050A" w:rsidRPr="00C94BAA" w:rsidRDefault="00DF050A" w:rsidP="00304825">
            <w:pPr>
              <w:pStyle w:val="BodyText"/>
              <w:spacing w:before="0" w:after="0"/>
              <w:jc w:val="left"/>
              <w:rPr>
                <w:rFonts w:ascii="Times New Roman" w:hAnsi="Times New Roman" w:cs="Times New Roman"/>
                <w:bCs/>
                <w:sz w:val="22"/>
                <w:szCs w:val="22"/>
              </w:rPr>
            </w:pPr>
          </w:p>
          <w:p w14:paraId="691A616D" w14:textId="77777777" w:rsidR="00DF050A" w:rsidRPr="00C94BAA" w:rsidRDefault="00DF050A" w:rsidP="00304825">
            <w:pPr>
              <w:pStyle w:val="BodyText"/>
              <w:spacing w:before="0" w:after="0"/>
              <w:jc w:val="left"/>
              <w:rPr>
                <w:rFonts w:ascii="Times New Roman" w:hAnsi="Times New Roman" w:cs="Times New Roman"/>
                <w:bCs/>
                <w:sz w:val="22"/>
                <w:szCs w:val="22"/>
              </w:rPr>
            </w:pPr>
          </w:p>
          <w:p w14:paraId="34188D8E" w14:textId="77777777" w:rsidR="00DF050A" w:rsidRPr="00C94BAA" w:rsidRDefault="00DF050A" w:rsidP="00304825">
            <w:pPr>
              <w:pStyle w:val="BodyText"/>
              <w:spacing w:before="0" w:after="0"/>
              <w:jc w:val="left"/>
              <w:rPr>
                <w:rFonts w:ascii="Times New Roman" w:hAnsi="Times New Roman" w:cs="Times New Roman"/>
                <w:bCs/>
                <w:sz w:val="22"/>
                <w:szCs w:val="22"/>
              </w:rPr>
            </w:pPr>
          </w:p>
          <w:p w14:paraId="2CFB5D33" w14:textId="77777777" w:rsidR="00DF050A" w:rsidRPr="00C94BAA" w:rsidRDefault="00DF050A" w:rsidP="00304825">
            <w:pPr>
              <w:pStyle w:val="BodyText"/>
              <w:spacing w:before="0" w:after="0"/>
              <w:jc w:val="left"/>
              <w:rPr>
                <w:rFonts w:ascii="Times New Roman" w:hAnsi="Times New Roman" w:cs="Times New Roman"/>
                <w:bCs/>
                <w:sz w:val="22"/>
                <w:szCs w:val="22"/>
              </w:rPr>
            </w:pPr>
          </w:p>
          <w:p w14:paraId="4233347C" w14:textId="77777777" w:rsidR="00DF050A" w:rsidRPr="00C94BAA" w:rsidRDefault="00DF050A" w:rsidP="00304825">
            <w:pPr>
              <w:pStyle w:val="BodyText"/>
              <w:spacing w:before="0" w:after="0"/>
              <w:jc w:val="left"/>
              <w:rPr>
                <w:rFonts w:ascii="Times New Roman" w:hAnsi="Times New Roman" w:cs="Times New Roman"/>
                <w:bCs/>
                <w:sz w:val="22"/>
                <w:szCs w:val="22"/>
              </w:rPr>
            </w:pPr>
          </w:p>
          <w:p w14:paraId="41715369" w14:textId="77777777" w:rsidR="00DF050A" w:rsidRPr="00C94BAA" w:rsidRDefault="00DF050A" w:rsidP="00304825">
            <w:pPr>
              <w:pStyle w:val="BodyText"/>
              <w:spacing w:before="0" w:after="0"/>
              <w:jc w:val="left"/>
              <w:rPr>
                <w:rFonts w:ascii="Times New Roman" w:hAnsi="Times New Roman" w:cs="Times New Roman"/>
                <w:bCs/>
                <w:sz w:val="22"/>
                <w:szCs w:val="22"/>
              </w:rPr>
            </w:pPr>
          </w:p>
          <w:p w14:paraId="3399BF3C" w14:textId="77777777" w:rsidR="00DF050A" w:rsidRPr="00C94BAA" w:rsidRDefault="00DF050A" w:rsidP="00304825">
            <w:pPr>
              <w:pStyle w:val="BodyText"/>
              <w:spacing w:before="0" w:after="0"/>
              <w:jc w:val="left"/>
              <w:rPr>
                <w:rFonts w:ascii="Times New Roman" w:hAnsi="Times New Roman" w:cs="Times New Roman"/>
                <w:bCs/>
                <w:sz w:val="22"/>
                <w:szCs w:val="22"/>
              </w:rPr>
            </w:pPr>
          </w:p>
          <w:p w14:paraId="2C4A1D57" w14:textId="77777777" w:rsidR="00DF050A" w:rsidRPr="00C94BAA" w:rsidRDefault="00DF050A" w:rsidP="00304825">
            <w:pPr>
              <w:pStyle w:val="BodyText"/>
              <w:spacing w:before="0" w:after="0"/>
              <w:jc w:val="left"/>
              <w:rPr>
                <w:rFonts w:ascii="Times New Roman" w:hAnsi="Times New Roman" w:cs="Times New Roman"/>
                <w:bCs/>
                <w:sz w:val="22"/>
                <w:szCs w:val="22"/>
              </w:rPr>
            </w:pPr>
          </w:p>
          <w:p w14:paraId="32546374" w14:textId="77777777" w:rsidR="00DF050A" w:rsidRPr="00C94BAA" w:rsidRDefault="00DF050A" w:rsidP="00304825">
            <w:pPr>
              <w:pStyle w:val="BodyText"/>
              <w:spacing w:before="0" w:after="0"/>
              <w:jc w:val="left"/>
              <w:rPr>
                <w:rFonts w:ascii="Times New Roman" w:hAnsi="Times New Roman" w:cs="Times New Roman"/>
                <w:bCs/>
                <w:sz w:val="22"/>
                <w:szCs w:val="22"/>
              </w:rPr>
            </w:pPr>
          </w:p>
          <w:p w14:paraId="6A78329A" w14:textId="77777777" w:rsidR="00DF050A" w:rsidRPr="00C94BAA" w:rsidRDefault="00DF050A" w:rsidP="00304825">
            <w:pPr>
              <w:pStyle w:val="BodyText"/>
              <w:spacing w:before="0" w:after="0"/>
              <w:jc w:val="left"/>
              <w:rPr>
                <w:rFonts w:ascii="Times New Roman" w:hAnsi="Times New Roman" w:cs="Times New Roman"/>
                <w:bCs/>
                <w:sz w:val="22"/>
                <w:szCs w:val="22"/>
              </w:rPr>
            </w:pPr>
          </w:p>
          <w:p w14:paraId="203A3981" w14:textId="77777777" w:rsidR="00DF050A" w:rsidRPr="00C94BAA" w:rsidRDefault="00DF050A" w:rsidP="00304825">
            <w:pPr>
              <w:pStyle w:val="BodyText"/>
              <w:spacing w:before="0" w:after="0"/>
              <w:jc w:val="left"/>
              <w:rPr>
                <w:rFonts w:ascii="Times New Roman" w:hAnsi="Times New Roman" w:cs="Times New Roman"/>
                <w:bCs/>
                <w:sz w:val="22"/>
                <w:szCs w:val="22"/>
              </w:rPr>
            </w:pPr>
          </w:p>
          <w:p w14:paraId="74BCD17E" w14:textId="77777777" w:rsidR="00DF050A" w:rsidRPr="00C94BAA" w:rsidRDefault="00DF050A" w:rsidP="00304825">
            <w:pPr>
              <w:pStyle w:val="BodyText"/>
              <w:spacing w:before="0" w:after="0"/>
              <w:jc w:val="left"/>
              <w:rPr>
                <w:rFonts w:ascii="Times New Roman" w:hAnsi="Times New Roman" w:cs="Times New Roman"/>
                <w:bCs/>
                <w:sz w:val="22"/>
                <w:szCs w:val="22"/>
              </w:rPr>
            </w:pPr>
          </w:p>
          <w:p w14:paraId="0ABDC17E" w14:textId="77777777" w:rsidR="00DF050A" w:rsidRPr="00C94BAA" w:rsidRDefault="00DF050A" w:rsidP="00304825">
            <w:pPr>
              <w:pStyle w:val="BodyText"/>
              <w:spacing w:before="0" w:after="0"/>
              <w:jc w:val="left"/>
              <w:rPr>
                <w:rFonts w:ascii="Times New Roman" w:hAnsi="Times New Roman" w:cs="Times New Roman"/>
                <w:bCs/>
                <w:sz w:val="22"/>
                <w:szCs w:val="22"/>
              </w:rPr>
            </w:pPr>
          </w:p>
          <w:p w14:paraId="2CB4B5D9" w14:textId="77777777" w:rsidR="00DF050A" w:rsidRPr="00C94BAA" w:rsidRDefault="00DF050A" w:rsidP="00304825">
            <w:pPr>
              <w:pStyle w:val="BodyText"/>
              <w:spacing w:before="0" w:after="0"/>
              <w:jc w:val="left"/>
              <w:rPr>
                <w:rFonts w:ascii="Times New Roman" w:hAnsi="Times New Roman" w:cs="Times New Roman"/>
                <w:bCs/>
                <w:sz w:val="22"/>
                <w:szCs w:val="22"/>
              </w:rPr>
            </w:pPr>
          </w:p>
          <w:p w14:paraId="2BB10CB7" w14:textId="77777777" w:rsidR="00DF050A" w:rsidRPr="00C94BAA" w:rsidRDefault="00DF050A" w:rsidP="00304825">
            <w:pPr>
              <w:pStyle w:val="BodyText"/>
              <w:spacing w:before="0" w:after="0"/>
              <w:jc w:val="left"/>
              <w:rPr>
                <w:rFonts w:ascii="Times New Roman" w:hAnsi="Times New Roman" w:cs="Times New Roman"/>
                <w:bCs/>
                <w:sz w:val="22"/>
                <w:szCs w:val="22"/>
              </w:rPr>
            </w:pPr>
          </w:p>
          <w:p w14:paraId="42419BE0" w14:textId="77777777" w:rsidR="00DF050A" w:rsidRPr="00C94BAA" w:rsidRDefault="00DF050A" w:rsidP="00304825">
            <w:pPr>
              <w:pStyle w:val="BodyText"/>
              <w:spacing w:before="0" w:after="0"/>
              <w:jc w:val="left"/>
              <w:rPr>
                <w:rFonts w:ascii="Times New Roman" w:hAnsi="Times New Roman" w:cs="Times New Roman"/>
                <w:bCs/>
                <w:sz w:val="22"/>
                <w:szCs w:val="22"/>
              </w:rPr>
            </w:pPr>
          </w:p>
          <w:p w14:paraId="6A05C095" w14:textId="77777777" w:rsidR="00DF050A" w:rsidRPr="00C94BAA" w:rsidRDefault="00DF050A" w:rsidP="00304825">
            <w:pPr>
              <w:pStyle w:val="BodyText"/>
              <w:spacing w:before="0" w:after="0"/>
              <w:jc w:val="left"/>
              <w:rPr>
                <w:rFonts w:ascii="Times New Roman" w:hAnsi="Times New Roman" w:cs="Times New Roman"/>
                <w:bCs/>
                <w:sz w:val="22"/>
                <w:szCs w:val="22"/>
              </w:rPr>
            </w:pPr>
          </w:p>
          <w:p w14:paraId="79B9F6A8" w14:textId="77777777" w:rsidR="00DF050A" w:rsidRPr="00C94BAA" w:rsidRDefault="00DF050A" w:rsidP="00304825">
            <w:pPr>
              <w:pStyle w:val="BodyText"/>
              <w:spacing w:before="0" w:after="0"/>
              <w:jc w:val="left"/>
              <w:rPr>
                <w:rFonts w:ascii="Times New Roman" w:hAnsi="Times New Roman" w:cs="Times New Roman"/>
                <w:bCs/>
                <w:sz w:val="22"/>
                <w:szCs w:val="22"/>
              </w:rPr>
            </w:pPr>
          </w:p>
          <w:p w14:paraId="6E3885C3" w14:textId="77777777" w:rsidR="00DF050A" w:rsidRPr="00C94BAA" w:rsidRDefault="00DF050A" w:rsidP="00304825">
            <w:pPr>
              <w:pStyle w:val="BodyText"/>
              <w:spacing w:before="0" w:after="0"/>
              <w:jc w:val="left"/>
              <w:rPr>
                <w:rFonts w:ascii="Times New Roman" w:hAnsi="Times New Roman" w:cs="Times New Roman"/>
                <w:bCs/>
                <w:sz w:val="22"/>
                <w:szCs w:val="22"/>
              </w:rPr>
            </w:pPr>
          </w:p>
          <w:p w14:paraId="09707810" w14:textId="77777777" w:rsidR="00DF050A" w:rsidRPr="00C94BAA" w:rsidRDefault="00DF050A" w:rsidP="00304825">
            <w:pPr>
              <w:pStyle w:val="BodyText"/>
              <w:spacing w:before="0" w:after="0"/>
              <w:jc w:val="left"/>
              <w:rPr>
                <w:rFonts w:ascii="Times New Roman" w:hAnsi="Times New Roman" w:cs="Times New Roman"/>
                <w:bCs/>
                <w:sz w:val="22"/>
                <w:szCs w:val="22"/>
              </w:rPr>
            </w:pPr>
          </w:p>
          <w:p w14:paraId="3ABAB8C8" w14:textId="77777777" w:rsidR="00DF050A" w:rsidRPr="00C94BAA" w:rsidRDefault="00DF050A" w:rsidP="00304825">
            <w:pPr>
              <w:pStyle w:val="BodyText"/>
              <w:spacing w:before="0" w:after="0"/>
              <w:jc w:val="left"/>
              <w:rPr>
                <w:rFonts w:ascii="Times New Roman" w:hAnsi="Times New Roman" w:cs="Times New Roman"/>
                <w:bCs/>
                <w:sz w:val="22"/>
                <w:szCs w:val="22"/>
              </w:rPr>
            </w:pPr>
          </w:p>
          <w:p w14:paraId="284FA8A0" w14:textId="77777777" w:rsidR="00DF050A" w:rsidRPr="00C94BAA" w:rsidRDefault="00DF050A" w:rsidP="00304825">
            <w:pPr>
              <w:autoSpaceDE w:val="0"/>
              <w:autoSpaceDN w:val="0"/>
              <w:adjustRightInd w:val="0"/>
              <w:spacing w:after="120" w:line="240" w:lineRule="auto"/>
              <w:rPr>
                <w:rFonts w:ascii="Times New Roman" w:eastAsia="MS Mincho" w:hAnsi="Times New Roman" w:cs="Times New Roman"/>
                <w:b/>
              </w:rPr>
            </w:pPr>
          </w:p>
        </w:tc>
        <w:tc>
          <w:tcPr>
            <w:tcW w:w="1479" w:type="dxa"/>
            <w:shd w:val="clear" w:color="auto" w:fill="E7E6E6" w:themeFill="background2"/>
          </w:tcPr>
          <w:p w14:paraId="1304BF0B" w14:textId="77777777" w:rsidR="00DF050A" w:rsidRPr="00C94BAA" w:rsidRDefault="00DF050A" w:rsidP="00304825">
            <w:pPr>
              <w:pStyle w:val="BodyText"/>
              <w:spacing w:before="0" w:after="0"/>
              <w:jc w:val="left"/>
              <w:rPr>
                <w:rFonts w:ascii="Times New Roman" w:hAnsi="Times New Roman" w:cs="Times New Roman"/>
                <w:bCs/>
                <w:sz w:val="22"/>
                <w:szCs w:val="22"/>
              </w:rPr>
            </w:pPr>
            <w:r w:rsidRPr="008F2979">
              <w:rPr>
                <w:rFonts w:ascii="Times New Roman" w:hAnsi="Times New Roman" w:cs="Times New Roman"/>
                <w:bCs/>
                <w:sz w:val="22"/>
                <w:szCs w:val="22"/>
              </w:rPr>
              <w:lastRenderedPageBreak/>
              <w:t>6</w:t>
            </w:r>
            <w:r>
              <w:rPr>
                <w:rFonts w:ascii="Times New Roman" w:hAnsi="Times New Roman" w:cs="Times New Roman"/>
                <w:bCs/>
                <w:sz w:val="22"/>
                <w:szCs w:val="22"/>
              </w:rPr>
              <w:t xml:space="preserve"> </w:t>
            </w:r>
            <w:r w:rsidRPr="008F2979">
              <w:rPr>
                <w:rFonts w:ascii="Times New Roman" w:hAnsi="Times New Roman" w:cs="Times New Roman"/>
                <w:bCs/>
                <w:sz w:val="22"/>
                <w:szCs w:val="22"/>
              </w:rPr>
              <w:t>000</w:t>
            </w:r>
            <w:r>
              <w:rPr>
                <w:rFonts w:ascii="Times New Roman" w:hAnsi="Times New Roman" w:cs="Times New Roman"/>
                <w:bCs/>
                <w:sz w:val="22"/>
                <w:szCs w:val="22"/>
              </w:rPr>
              <w:t xml:space="preserve"> </w:t>
            </w:r>
            <w:r w:rsidRPr="008F2979">
              <w:rPr>
                <w:rFonts w:ascii="Times New Roman" w:hAnsi="Times New Roman" w:cs="Times New Roman"/>
                <w:bCs/>
                <w:sz w:val="22"/>
                <w:szCs w:val="22"/>
              </w:rPr>
              <w:t>000</w:t>
            </w:r>
            <w:r>
              <w:rPr>
                <w:rFonts w:ascii="Times New Roman" w:hAnsi="Times New Roman" w:cs="Times New Roman"/>
                <w:bCs/>
                <w:sz w:val="22"/>
                <w:szCs w:val="22"/>
              </w:rPr>
              <w:t xml:space="preserve"> </w:t>
            </w:r>
            <w:r w:rsidRPr="008F2979">
              <w:rPr>
                <w:rFonts w:ascii="Times New Roman" w:hAnsi="Times New Roman" w:cs="Times New Roman"/>
                <w:bCs/>
                <w:sz w:val="22"/>
                <w:szCs w:val="22"/>
              </w:rPr>
              <w:t xml:space="preserve">FCFA </w:t>
            </w:r>
          </w:p>
        </w:tc>
      </w:tr>
      <w:tr w:rsidR="00DF050A" w:rsidRPr="00C94BAA" w14:paraId="2DC34F5D" w14:textId="77777777" w:rsidTr="00304825">
        <w:tc>
          <w:tcPr>
            <w:tcW w:w="4434" w:type="dxa"/>
          </w:tcPr>
          <w:p w14:paraId="0527F304" w14:textId="77777777" w:rsidR="00DF050A" w:rsidRPr="00C94BAA" w:rsidRDefault="00DF050A" w:rsidP="00304825">
            <w:pPr>
              <w:pStyle w:val="ListParagraph"/>
              <w:autoSpaceDE w:val="0"/>
              <w:autoSpaceDN w:val="0"/>
              <w:adjustRightInd w:val="0"/>
              <w:spacing w:after="120" w:line="240" w:lineRule="auto"/>
              <w:ind w:left="0"/>
              <w:contextualSpacing w:val="0"/>
              <w:rPr>
                <w:rFonts w:ascii="Times New Roman" w:hAnsi="Times New Roman" w:cs="Times New Roman"/>
              </w:rPr>
            </w:pPr>
            <w:r w:rsidRPr="00C94BAA">
              <w:rPr>
                <w:rFonts w:ascii="Times New Roman" w:eastAsia="MS Mincho" w:hAnsi="Times New Roman" w:cs="Times New Roman"/>
                <w:bCs/>
              </w:rPr>
              <w:lastRenderedPageBreak/>
              <w:t xml:space="preserve">2d. </w:t>
            </w:r>
            <w:r w:rsidRPr="00C94BAA">
              <w:rPr>
                <w:rFonts w:ascii="Times New Roman" w:hAnsi="Times New Roman" w:cs="Times New Roman"/>
              </w:rPr>
              <w:t>Risques d’assister à des pratiques néfastes et dangereuses pour les survivantes, liés à l’absence de connaissances et compétences des travailleurs en santé communautaire, des personnels des centres de santé, des écoles et autres établissements scolaires d’apprentissage et de formation sur les VBG et EAS et de protocoles de référencements des survivantes.</w:t>
            </w:r>
          </w:p>
          <w:p w14:paraId="68A29128" w14:textId="77777777" w:rsidR="00DF050A" w:rsidRPr="00C94BAA" w:rsidRDefault="00DF050A" w:rsidP="00304825">
            <w:pPr>
              <w:pStyle w:val="ListParagraph"/>
              <w:autoSpaceDE w:val="0"/>
              <w:autoSpaceDN w:val="0"/>
              <w:adjustRightInd w:val="0"/>
              <w:spacing w:after="120" w:line="240" w:lineRule="auto"/>
              <w:ind w:left="0"/>
              <w:contextualSpacing w:val="0"/>
              <w:rPr>
                <w:rFonts w:ascii="Times New Roman" w:hAnsi="Times New Roman" w:cs="Times New Roman"/>
              </w:rPr>
            </w:pPr>
            <w:r w:rsidRPr="00C94BAA">
              <w:rPr>
                <w:rFonts w:ascii="Times New Roman" w:hAnsi="Times New Roman" w:cs="Times New Roman"/>
              </w:rPr>
              <w:t xml:space="preserve">2e.  Risques de générer de la violence à l’endroit des filles dont les familles reçoivent </w:t>
            </w:r>
            <w:r w:rsidRPr="00C94BAA">
              <w:rPr>
                <w:rFonts w:ascii="Times New Roman" w:hAnsi="Times New Roman" w:cs="Times New Roman"/>
              </w:rPr>
              <w:lastRenderedPageBreak/>
              <w:t xml:space="preserve">un appui financier pour la poursuite de leur éducation (violences physiques, émotionnelles et/ou psychologiques). Sans mesures d’accompagnement des ménages, des parents et des communautés visant à expliquer les objectifs de cette sous-composante du projet, les soutiens financiers et les attributions de bourses d’études pourraient générer des déséquilibres au sein des ménages spécifiquement dans les dynamiques et rôles de genre attribués aux filles au sein des ménages. Ces déséquilibres sont des facteurs aggravant de violences envers les filles, notamment des VBG et EAS liées aux transferts d’argent. </w:t>
            </w:r>
          </w:p>
          <w:p w14:paraId="3FA787EB" w14:textId="77777777" w:rsidR="00DF050A" w:rsidRPr="00C94BAA" w:rsidRDefault="00DF050A" w:rsidP="00304825">
            <w:pPr>
              <w:pStyle w:val="ListParagraph"/>
              <w:autoSpaceDE w:val="0"/>
              <w:autoSpaceDN w:val="0"/>
              <w:adjustRightInd w:val="0"/>
              <w:spacing w:after="120" w:line="240" w:lineRule="auto"/>
              <w:ind w:left="0"/>
              <w:contextualSpacing w:val="0"/>
              <w:rPr>
                <w:rFonts w:ascii="Times New Roman" w:hAnsi="Times New Roman" w:cs="Times New Roman"/>
              </w:rPr>
            </w:pPr>
            <w:r w:rsidRPr="00C94BAA">
              <w:rPr>
                <w:rFonts w:ascii="Times New Roman" w:hAnsi="Times New Roman" w:cs="Times New Roman"/>
              </w:rPr>
              <w:t>2f. Risques liés à l’absence de prise en compte des intersections entre l’exacerbation des VBG et EAS par la pandémie de covid 19 y compris ses conséquences néfastes disproportionnées pour les femmes et les filles.</w:t>
            </w:r>
          </w:p>
          <w:p w14:paraId="19161ACA" w14:textId="77777777" w:rsidR="00DF050A" w:rsidRPr="00C94BAA" w:rsidRDefault="00DF050A" w:rsidP="00304825">
            <w:pPr>
              <w:autoSpaceDE w:val="0"/>
              <w:autoSpaceDN w:val="0"/>
              <w:adjustRightInd w:val="0"/>
              <w:rPr>
                <w:rFonts w:ascii="Times New Roman" w:hAnsi="Times New Roman" w:cs="Times New Roman"/>
              </w:rPr>
            </w:pPr>
          </w:p>
          <w:p w14:paraId="000E77C0" w14:textId="77777777" w:rsidR="00DF050A" w:rsidRPr="00C94BAA" w:rsidRDefault="00DF050A" w:rsidP="00304825">
            <w:pPr>
              <w:autoSpaceDE w:val="0"/>
              <w:autoSpaceDN w:val="0"/>
              <w:adjustRightInd w:val="0"/>
              <w:rPr>
                <w:rFonts w:ascii="Times New Roman" w:hAnsi="Times New Roman" w:cs="Times New Roman"/>
              </w:rPr>
            </w:pPr>
          </w:p>
          <w:p w14:paraId="4614B55A" w14:textId="77777777" w:rsidR="00DF050A" w:rsidRPr="00C94BAA" w:rsidRDefault="00DF050A" w:rsidP="00304825">
            <w:pPr>
              <w:autoSpaceDE w:val="0"/>
              <w:autoSpaceDN w:val="0"/>
              <w:adjustRightInd w:val="0"/>
              <w:rPr>
                <w:rFonts w:ascii="Times New Roman" w:hAnsi="Times New Roman" w:cs="Times New Roman"/>
              </w:rPr>
            </w:pPr>
          </w:p>
          <w:p w14:paraId="237E04CE" w14:textId="77777777" w:rsidR="00DF050A" w:rsidRPr="00C94BAA" w:rsidRDefault="00DF050A" w:rsidP="00304825">
            <w:pPr>
              <w:autoSpaceDE w:val="0"/>
              <w:autoSpaceDN w:val="0"/>
              <w:adjustRightInd w:val="0"/>
              <w:rPr>
                <w:rFonts w:ascii="Times New Roman" w:hAnsi="Times New Roman" w:cs="Times New Roman"/>
              </w:rPr>
            </w:pPr>
          </w:p>
          <w:p w14:paraId="348B2269" w14:textId="77777777" w:rsidR="00DF050A" w:rsidRPr="00C94BAA" w:rsidRDefault="00DF050A" w:rsidP="00304825">
            <w:pPr>
              <w:autoSpaceDE w:val="0"/>
              <w:autoSpaceDN w:val="0"/>
              <w:adjustRightInd w:val="0"/>
              <w:rPr>
                <w:rFonts w:ascii="Times New Roman" w:hAnsi="Times New Roman" w:cs="Times New Roman"/>
              </w:rPr>
            </w:pPr>
          </w:p>
          <w:p w14:paraId="58B3EC3C" w14:textId="77777777" w:rsidR="00DF050A" w:rsidRPr="00C94BAA" w:rsidRDefault="00DF050A" w:rsidP="00304825">
            <w:pPr>
              <w:autoSpaceDE w:val="0"/>
              <w:autoSpaceDN w:val="0"/>
              <w:adjustRightInd w:val="0"/>
              <w:rPr>
                <w:rFonts w:ascii="Times New Roman" w:hAnsi="Times New Roman" w:cs="Times New Roman"/>
              </w:rPr>
            </w:pPr>
          </w:p>
          <w:p w14:paraId="097AAEB0" w14:textId="77777777" w:rsidR="00DF050A" w:rsidRPr="00C94BAA" w:rsidRDefault="00DF050A" w:rsidP="00304825">
            <w:pPr>
              <w:autoSpaceDE w:val="0"/>
              <w:autoSpaceDN w:val="0"/>
              <w:adjustRightInd w:val="0"/>
              <w:rPr>
                <w:rFonts w:ascii="Times New Roman" w:hAnsi="Times New Roman" w:cs="Times New Roman"/>
              </w:rPr>
            </w:pPr>
          </w:p>
          <w:p w14:paraId="428C5733" w14:textId="77777777" w:rsidR="00DF050A" w:rsidRPr="00C94BAA" w:rsidRDefault="00DF050A" w:rsidP="00304825">
            <w:pPr>
              <w:autoSpaceDE w:val="0"/>
              <w:autoSpaceDN w:val="0"/>
              <w:adjustRightInd w:val="0"/>
              <w:rPr>
                <w:rFonts w:ascii="Times New Roman" w:hAnsi="Times New Roman" w:cs="Times New Roman"/>
              </w:rPr>
            </w:pPr>
          </w:p>
          <w:p w14:paraId="1CFA2163" w14:textId="77777777" w:rsidR="00DF050A" w:rsidRPr="00C94BAA" w:rsidRDefault="00DF050A" w:rsidP="00304825">
            <w:pPr>
              <w:autoSpaceDE w:val="0"/>
              <w:autoSpaceDN w:val="0"/>
              <w:adjustRightInd w:val="0"/>
              <w:rPr>
                <w:rFonts w:ascii="Times New Roman" w:hAnsi="Times New Roman" w:cs="Times New Roman"/>
              </w:rPr>
            </w:pPr>
          </w:p>
          <w:p w14:paraId="42DF8EFC" w14:textId="77777777" w:rsidR="00DF050A" w:rsidRPr="00C94BAA" w:rsidRDefault="00DF050A" w:rsidP="00304825">
            <w:pPr>
              <w:autoSpaceDE w:val="0"/>
              <w:autoSpaceDN w:val="0"/>
              <w:adjustRightInd w:val="0"/>
              <w:rPr>
                <w:rFonts w:ascii="Times New Roman" w:hAnsi="Times New Roman" w:cs="Times New Roman"/>
              </w:rPr>
            </w:pPr>
          </w:p>
          <w:p w14:paraId="157D1FFB" w14:textId="77777777" w:rsidR="00DF050A" w:rsidRPr="00C94BAA" w:rsidRDefault="00DF050A" w:rsidP="00304825">
            <w:pPr>
              <w:autoSpaceDE w:val="0"/>
              <w:autoSpaceDN w:val="0"/>
              <w:adjustRightInd w:val="0"/>
              <w:rPr>
                <w:rFonts w:ascii="Times New Roman" w:hAnsi="Times New Roman" w:cs="Times New Roman"/>
              </w:rPr>
            </w:pPr>
          </w:p>
          <w:p w14:paraId="7C40B021" w14:textId="77777777" w:rsidR="00DF050A" w:rsidRPr="00C94BAA" w:rsidRDefault="00DF050A" w:rsidP="00304825">
            <w:pPr>
              <w:autoSpaceDE w:val="0"/>
              <w:autoSpaceDN w:val="0"/>
              <w:adjustRightInd w:val="0"/>
              <w:rPr>
                <w:rFonts w:ascii="Times New Roman" w:hAnsi="Times New Roman" w:cs="Times New Roman"/>
              </w:rPr>
            </w:pPr>
          </w:p>
          <w:p w14:paraId="58B1DAEC" w14:textId="77777777" w:rsidR="00DF050A" w:rsidRPr="00C94BAA" w:rsidRDefault="00DF050A" w:rsidP="00304825">
            <w:pPr>
              <w:autoSpaceDE w:val="0"/>
              <w:autoSpaceDN w:val="0"/>
              <w:adjustRightInd w:val="0"/>
              <w:rPr>
                <w:rFonts w:ascii="Times New Roman" w:hAnsi="Times New Roman" w:cs="Times New Roman"/>
              </w:rPr>
            </w:pPr>
          </w:p>
          <w:p w14:paraId="3A28702B" w14:textId="77777777" w:rsidR="00DF050A" w:rsidRPr="00C94BAA" w:rsidRDefault="00DF050A" w:rsidP="00304825">
            <w:pPr>
              <w:autoSpaceDE w:val="0"/>
              <w:autoSpaceDN w:val="0"/>
              <w:adjustRightInd w:val="0"/>
              <w:rPr>
                <w:rFonts w:ascii="Times New Roman" w:hAnsi="Times New Roman" w:cs="Times New Roman"/>
              </w:rPr>
            </w:pPr>
          </w:p>
          <w:p w14:paraId="3C63F2B2" w14:textId="77777777" w:rsidR="00DF050A" w:rsidRPr="00C94BAA" w:rsidRDefault="00DF050A" w:rsidP="00304825">
            <w:pPr>
              <w:autoSpaceDE w:val="0"/>
              <w:autoSpaceDN w:val="0"/>
              <w:adjustRightInd w:val="0"/>
              <w:rPr>
                <w:rFonts w:ascii="Times New Roman" w:hAnsi="Times New Roman" w:cs="Times New Roman"/>
              </w:rPr>
            </w:pPr>
          </w:p>
          <w:p w14:paraId="61625EAB" w14:textId="77777777" w:rsidR="00DF050A" w:rsidRPr="00C94BAA" w:rsidRDefault="00DF050A" w:rsidP="00304825">
            <w:pPr>
              <w:autoSpaceDE w:val="0"/>
              <w:autoSpaceDN w:val="0"/>
              <w:adjustRightInd w:val="0"/>
              <w:rPr>
                <w:rFonts w:ascii="Times New Roman" w:hAnsi="Times New Roman" w:cs="Times New Roman"/>
              </w:rPr>
            </w:pPr>
          </w:p>
          <w:p w14:paraId="15D6B551" w14:textId="77777777" w:rsidR="00DF050A" w:rsidRPr="00C94BAA" w:rsidRDefault="00DF050A" w:rsidP="00304825">
            <w:pPr>
              <w:pStyle w:val="ListParagraph"/>
              <w:autoSpaceDE w:val="0"/>
              <w:autoSpaceDN w:val="0"/>
              <w:adjustRightInd w:val="0"/>
              <w:spacing w:after="120" w:line="240" w:lineRule="auto"/>
              <w:ind w:left="0"/>
              <w:contextualSpacing w:val="0"/>
              <w:rPr>
                <w:rFonts w:ascii="Times New Roman" w:eastAsia="MS Mincho" w:hAnsi="Times New Roman" w:cs="Times New Roman"/>
                <w:bCs/>
              </w:rPr>
            </w:pPr>
          </w:p>
          <w:p w14:paraId="68F6AD2E" w14:textId="77777777" w:rsidR="00DF050A" w:rsidRPr="00C94BAA" w:rsidRDefault="00DF050A" w:rsidP="00304825">
            <w:pPr>
              <w:pStyle w:val="ListParagraph"/>
              <w:autoSpaceDE w:val="0"/>
              <w:autoSpaceDN w:val="0"/>
              <w:adjustRightInd w:val="0"/>
              <w:spacing w:after="120" w:line="240" w:lineRule="auto"/>
              <w:ind w:left="0"/>
              <w:contextualSpacing w:val="0"/>
              <w:rPr>
                <w:rFonts w:ascii="Times New Roman" w:eastAsia="MS Mincho" w:hAnsi="Times New Roman" w:cs="Times New Roman"/>
                <w:bCs/>
              </w:rPr>
            </w:pPr>
          </w:p>
        </w:tc>
        <w:tc>
          <w:tcPr>
            <w:tcW w:w="2670" w:type="dxa"/>
          </w:tcPr>
          <w:p w14:paraId="5A5EA5DC" w14:textId="77777777" w:rsidR="00DF050A" w:rsidRPr="00C94BAA" w:rsidRDefault="00DF050A" w:rsidP="00304825">
            <w:pPr>
              <w:pStyle w:val="ListParagraph"/>
              <w:autoSpaceDE w:val="0"/>
              <w:autoSpaceDN w:val="0"/>
              <w:adjustRightInd w:val="0"/>
              <w:spacing w:after="120" w:line="240" w:lineRule="auto"/>
              <w:ind w:left="335"/>
              <w:contextualSpacing w:val="0"/>
              <w:rPr>
                <w:rFonts w:ascii="Times New Roman" w:eastAsia="MS Mincho" w:hAnsi="Times New Roman" w:cs="Times New Roman"/>
                <w:b/>
              </w:rPr>
            </w:pPr>
            <w:r w:rsidRPr="00C94BAA">
              <w:rPr>
                <w:rFonts w:ascii="Times New Roman" w:eastAsia="MS Mincho" w:hAnsi="Times New Roman" w:cs="Times New Roman"/>
                <w:b/>
              </w:rPr>
              <w:lastRenderedPageBreak/>
              <w:t>b. Plan de formation et sensibilisation, incluant :</w:t>
            </w:r>
          </w:p>
          <w:p w14:paraId="7C0DD531" w14:textId="77777777" w:rsidR="00DF050A" w:rsidRPr="00C94BAA" w:rsidRDefault="00DF050A" w:rsidP="00DF050A">
            <w:pPr>
              <w:pStyle w:val="ListParagraph"/>
              <w:numPr>
                <w:ilvl w:val="0"/>
                <w:numId w:val="31"/>
              </w:numPr>
              <w:autoSpaceDE w:val="0"/>
              <w:autoSpaceDN w:val="0"/>
              <w:adjustRightInd w:val="0"/>
              <w:spacing w:after="120" w:line="240" w:lineRule="auto"/>
              <w:ind w:left="335" w:hanging="270"/>
              <w:contextualSpacing w:val="0"/>
              <w:rPr>
                <w:rFonts w:ascii="Times New Roman" w:eastAsia="MS Mincho" w:hAnsi="Times New Roman" w:cs="Times New Roman"/>
                <w:b/>
              </w:rPr>
            </w:pPr>
            <w:r w:rsidRPr="00C94BAA">
              <w:rPr>
                <w:rFonts w:ascii="Times New Roman" w:hAnsi="Times New Roman" w:cs="Times New Roman"/>
                <w:bCs/>
              </w:rPr>
              <w:t xml:space="preserve">Renforcement d’atouts et formation pour le personnel du projet concernant les risques d’EAS/HS, y compris </w:t>
            </w:r>
            <w:r w:rsidRPr="00C94BAA">
              <w:rPr>
                <w:rFonts w:ascii="Times New Roman" w:hAnsi="Times New Roman" w:cs="Times New Roman"/>
                <w:bCs/>
              </w:rPr>
              <w:lastRenderedPageBreak/>
              <w:t>les codes de conduite et le MGP</w:t>
            </w:r>
          </w:p>
          <w:p w14:paraId="39B8A4B3" w14:textId="77777777" w:rsidR="00DF050A" w:rsidRPr="00C94BAA" w:rsidRDefault="00DF050A" w:rsidP="00DF050A">
            <w:pPr>
              <w:pStyle w:val="ListParagraph"/>
              <w:numPr>
                <w:ilvl w:val="0"/>
                <w:numId w:val="31"/>
              </w:numPr>
              <w:autoSpaceDE w:val="0"/>
              <w:autoSpaceDN w:val="0"/>
              <w:adjustRightInd w:val="0"/>
              <w:spacing w:after="120" w:line="240" w:lineRule="auto"/>
              <w:ind w:left="335" w:hanging="270"/>
              <w:contextualSpacing w:val="0"/>
              <w:rPr>
                <w:rFonts w:ascii="Times New Roman" w:eastAsia="MS Mincho" w:hAnsi="Times New Roman" w:cs="Times New Roman"/>
                <w:b/>
              </w:rPr>
            </w:pPr>
            <w:r w:rsidRPr="00C94BAA">
              <w:rPr>
                <w:rFonts w:ascii="Times New Roman" w:eastAsia="MS Mincho" w:hAnsi="Times New Roman" w:cs="Times New Roman"/>
                <w:bCs/>
              </w:rPr>
              <w:t xml:space="preserve">Formation des équipes des travailleurs et du personnel de supervision </w:t>
            </w:r>
            <w:r w:rsidRPr="000E54D9">
              <w:rPr>
                <w:rFonts w:ascii="Times New Roman" w:eastAsia="MS Mincho" w:hAnsi="Times New Roman" w:cs="Times New Roman"/>
                <w:bCs/>
                <w:i/>
                <w:iCs/>
              </w:rPr>
              <w:t>(y compris dans les écoles</w:t>
            </w:r>
            <w:r>
              <w:rPr>
                <w:rFonts w:ascii="Times New Roman" w:eastAsia="MS Mincho" w:hAnsi="Times New Roman" w:cs="Times New Roman"/>
                <w:bCs/>
                <w:i/>
                <w:iCs/>
              </w:rPr>
              <w:t xml:space="preserve"> et centres d’apprentissage</w:t>
            </w:r>
            <w:r w:rsidRPr="000E54D9">
              <w:rPr>
                <w:rFonts w:ascii="Times New Roman" w:eastAsia="MS Mincho" w:hAnsi="Times New Roman" w:cs="Times New Roman"/>
                <w:bCs/>
                <w:i/>
                <w:iCs/>
              </w:rPr>
              <w:t xml:space="preserve"> en complémentarité avec le projet Education PAPSE II)</w:t>
            </w:r>
            <w:r>
              <w:rPr>
                <w:rFonts w:ascii="Times New Roman" w:eastAsia="MS Mincho" w:hAnsi="Times New Roman" w:cs="Times New Roman"/>
                <w:bCs/>
                <w:i/>
                <w:iCs/>
              </w:rPr>
              <w:t xml:space="preserve"> </w:t>
            </w:r>
            <w:r w:rsidRPr="00C94BAA">
              <w:rPr>
                <w:rFonts w:ascii="Times New Roman" w:eastAsia="MS Mincho" w:hAnsi="Times New Roman" w:cs="Times New Roman"/>
                <w:bCs/>
              </w:rPr>
              <w:t xml:space="preserve"> sur l’EAS/HS, y compris les codes de conduite et le MGP</w:t>
            </w:r>
          </w:p>
          <w:p w14:paraId="7B933014" w14:textId="77777777" w:rsidR="00DF050A" w:rsidRPr="00C94BAA" w:rsidRDefault="00DF050A" w:rsidP="00DF050A">
            <w:pPr>
              <w:pStyle w:val="ListParagraph"/>
              <w:numPr>
                <w:ilvl w:val="0"/>
                <w:numId w:val="31"/>
              </w:numPr>
              <w:autoSpaceDE w:val="0"/>
              <w:autoSpaceDN w:val="0"/>
              <w:adjustRightInd w:val="0"/>
              <w:spacing w:after="120" w:line="240" w:lineRule="auto"/>
              <w:ind w:left="335" w:hanging="270"/>
              <w:contextualSpacing w:val="0"/>
              <w:rPr>
                <w:rFonts w:ascii="Times New Roman" w:eastAsia="MS Mincho" w:hAnsi="Times New Roman" w:cs="Times New Roman"/>
                <w:b/>
              </w:rPr>
            </w:pPr>
            <w:r w:rsidRPr="00C94BAA">
              <w:rPr>
                <w:rFonts w:ascii="Times New Roman" w:eastAsia="MS Mincho" w:hAnsi="Times New Roman" w:cs="Times New Roman"/>
                <w:bCs/>
              </w:rPr>
              <w:t>Consultations communautaires avec les bénéficiaires féminins dans des conditions sûres et confidentielles sur l’impact potentiel du projet et de ses activités et les risques y associés</w:t>
            </w:r>
          </w:p>
          <w:p w14:paraId="58A8734A" w14:textId="77777777" w:rsidR="00DF050A" w:rsidRPr="00C94BAA" w:rsidRDefault="00DF050A" w:rsidP="00DF050A">
            <w:pPr>
              <w:pStyle w:val="ListParagraph"/>
              <w:numPr>
                <w:ilvl w:val="0"/>
                <w:numId w:val="31"/>
              </w:numPr>
              <w:autoSpaceDE w:val="0"/>
              <w:autoSpaceDN w:val="0"/>
              <w:adjustRightInd w:val="0"/>
              <w:spacing w:after="120" w:line="240" w:lineRule="auto"/>
              <w:ind w:left="335" w:hanging="270"/>
              <w:contextualSpacing w:val="0"/>
              <w:rPr>
                <w:rFonts w:ascii="Times New Roman" w:eastAsia="MS Mincho" w:hAnsi="Times New Roman" w:cs="Times New Roman"/>
                <w:b/>
              </w:rPr>
            </w:pPr>
            <w:r w:rsidRPr="00C94BAA">
              <w:rPr>
                <w:rFonts w:ascii="Times New Roman" w:eastAsia="MS Mincho" w:hAnsi="Times New Roman" w:cs="Times New Roman"/>
                <w:bCs/>
              </w:rPr>
              <w:t>Sensibilisation des communautés ciblées par le projet concernant les risques d’EAS/HS et le MGP pour répondre aux plaintes</w:t>
            </w:r>
          </w:p>
          <w:p w14:paraId="515BB9D2" w14:textId="77777777" w:rsidR="00DF050A" w:rsidRPr="00C94BAA" w:rsidRDefault="00DF050A" w:rsidP="00DF050A">
            <w:pPr>
              <w:pStyle w:val="ListParagraph"/>
              <w:numPr>
                <w:ilvl w:val="0"/>
                <w:numId w:val="31"/>
              </w:numPr>
              <w:autoSpaceDE w:val="0"/>
              <w:autoSpaceDN w:val="0"/>
              <w:adjustRightInd w:val="0"/>
              <w:spacing w:after="120" w:line="240" w:lineRule="auto"/>
              <w:ind w:left="335" w:hanging="270"/>
              <w:contextualSpacing w:val="0"/>
              <w:rPr>
                <w:rFonts w:ascii="Times New Roman" w:eastAsia="MS Mincho" w:hAnsi="Times New Roman" w:cs="Times New Roman"/>
                <w:b/>
              </w:rPr>
            </w:pPr>
            <w:r w:rsidRPr="00C94BAA">
              <w:rPr>
                <w:rFonts w:ascii="Times New Roman" w:hAnsi="Times New Roman" w:cs="Times New Roman"/>
              </w:rPr>
              <w:t xml:space="preserve">Mise en œuvre de mesures d’accompagnement à destination des parents </w:t>
            </w:r>
            <w:r w:rsidRPr="00C94BAA">
              <w:rPr>
                <w:rFonts w:ascii="Times New Roman" w:hAnsi="Times New Roman" w:cs="Times New Roman"/>
              </w:rPr>
              <w:lastRenderedPageBreak/>
              <w:t>/ jeunes filles pour l’affection des aides financières comme support à l’éducation et au maintien à l’école des filles.</w:t>
            </w:r>
          </w:p>
        </w:tc>
        <w:tc>
          <w:tcPr>
            <w:tcW w:w="1752" w:type="dxa"/>
          </w:tcPr>
          <w:p w14:paraId="46F48242" w14:textId="77777777" w:rsidR="00DF050A" w:rsidRPr="008F2979" w:rsidRDefault="00DF050A" w:rsidP="00304825">
            <w:pPr>
              <w:pStyle w:val="BodyText"/>
              <w:spacing w:before="0" w:after="0"/>
              <w:jc w:val="left"/>
              <w:rPr>
                <w:rFonts w:ascii="Times New Roman" w:hAnsi="Times New Roman" w:cs="Times New Roman"/>
                <w:bCs/>
                <w:sz w:val="22"/>
                <w:szCs w:val="22"/>
              </w:rPr>
            </w:pPr>
            <w:r w:rsidRPr="008F2979">
              <w:rPr>
                <w:rFonts w:ascii="Times New Roman" w:hAnsi="Times New Roman" w:cs="Times New Roman"/>
                <w:bCs/>
                <w:sz w:val="22"/>
                <w:szCs w:val="22"/>
              </w:rPr>
              <w:lastRenderedPageBreak/>
              <w:t>-U</w:t>
            </w:r>
            <w:r>
              <w:rPr>
                <w:rFonts w:ascii="Times New Roman" w:hAnsi="Times New Roman" w:cs="Times New Roman"/>
                <w:bCs/>
                <w:sz w:val="22"/>
                <w:szCs w:val="22"/>
              </w:rPr>
              <w:t>C</w:t>
            </w:r>
            <w:r w:rsidRPr="008F2979">
              <w:rPr>
                <w:rFonts w:ascii="Times New Roman" w:hAnsi="Times New Roman" w:cs="Times New Roman"/>
                <w:bCs/>
                <w:sz w:val="22"/>
                <w:szCs w:val="22"/>
              </w:rPr>
              <w:t>P/</w:t>
            </w:r>
          </w:p>
          <w:p w14:paraId="2D35F711" w14:textId="77777777" w:rsidR="00DF050A" w:rsidRPr="008F2979" w:rsidRDefault="00DF050A" w:rsidP="00304825">
            <w:pPr>
              <w:pStyle w:val="BodyText"/>
              <w:spacing w:before="0" w:after="0"/>
              <w:jc w:val="left"/>
              <w:rPr>
                <w:rFonts w:ascii="Times New Roman" w:hAnsi="Times New Roman" w:cs="Times New Roman"/>
                <w:bCs/>
                <w:sz w:val="22"/>
                <w:szCs w:val="22"/>
              </w:rPr>
            </w:pPr>
            <w:r w:rsidRPr="008F2979">
              <w:rPr>
                <w:rFonts w:ascii="Times New Roman" w:hAnsi="Times New Roman" w:cs="Times New Roman"/>
                <w:bCs/>
                <w:sz w:val="22"/>
                <w:szCs w:val="22"/>
              </w:rPr>
              <w:t>Coordonnateur</w:t>
            </w:r>
          </w:p>
          <w:p w14:paraId="0A541FE5" w14:textId="77777777" w:rsidR="00DF050A" w:rsidRPr="008F2979" w:rsidRDefault="00DF050A" w:rsidP="00304825">
            <w:pPr>
              <w:pStyle w:val="BodyText"/>
              <w:spacing w:before="0" w:after="0"/>
              <w:jc w:val="left"/>
              <w:rPr>
                <w:rFonts w:ascii="Times New Roman" w:hAnsi="Times New Roman" w:cs="Times New Roman"/>
                <w:bCs/>
                <w:sz w:val="22"/>
                <w:szCs w:val="22"/>
              </w:rPr>
            </w:pPr>
          </w:p>
          <w:p w14:paraId="58584A10" w14:textId="77777777" w:rsidR="00DF050A" w:rsidRPr="008F2979" w:rsidRDefault="00DF050A" w:rsidP="00304825">
            <w:pPr>
              <w:pStyle w:val="BodyText"/>
              <w:spacing w:before="0" w:after="0"/>
              <w:jc w:val="left"/>
              <w:rPr>
                <w:rFonts w:ascii="Times New Roman" w:hAnsi="Times New Roman" w:cs="Times New Roman"/>
                <w:bCs/>
                <w:sz w:val="22"/>
                <w:szCs w:val="22"/>
              </w:rPr>
            </w:pPr>
            <w:r w:rsidRPr="008F2979">
              <w:rPr>
                <w:rFonts w:ascii="Times New Roman" w:hAnsi="Times New Roman" w:cs="Times New Roman"/>
                <w:bCs/>
                <w:sz w:val="22"/>
                <w:szCs w:val="22"/>
              </w:rPr>
              <w:t>-Expert en VBG</w:t>
            </w:r>
          </w:p>
          <w:p w14:paraId="4E1E38A7" w14:textId="77777777" w:rsidR="00DF050A" w:rsidRPr="008F2979" w:rsidRDefault="00DF050A" w:rsidP="00304825">
            <w:pPr>
              <w:pStyle w:val="BodyText"/>
              <w:spacing w:before="0" w:after="0"/>
              <w:jc w:val="left"/>
              <w:rPr>
                <w:rFonts w:ascii="Times New Roman" w:hAnsi="Times New Roman" w:cs="Times New Roman"/>
                <w:bCs/>
                <w:sz w:val="22"/>
                <w:szCs w:val="22"/>
              </w:rPr>
            </w:pPr>
          </w:p>
          <w:p w14:paraId="78704DA2" w14:textId="77777777" w:rsidR="00DF050A" w:rsidRPr="008F2979" w:rsidRDefault="00DF050A" w:rsidP="00304825">
            <w:pPr>
              <w:pStyle w:val="BodyText"/>
              <w:spacing w:before="0" w:after="0"/>
              <w:jc w:val="left"/>
              <w:rPr>
                <w:rFonts w:ascii="Times New Roman" w:hAnsi="Times New Roman" w:cs="Times New Roman"/>
                <w:bCs/>
                <w:sz w:val="22"/>
                <w:szCs w:val="22"/>
              </w:rPr>
            </w:pPr>
            <w:r w:rsidRPr="008F2979">
              <w:rPr>
                <w:rFonts w:ascii="Times New Roman" w:hAnsi="Times New Roman" w:cs="Times New Roman"/>
                <w:bCs/>
                <w:sz w:val="22"/>
                <w:szCs w:val="22"/>
              </w:rPr>
              <w:t xml:space="preserve">-Expert Psychologue </w:t>
            </w:r>
          </w:p>
          <w:p w14:paraId="075F406F" w14:textId="77777777" w:rsidR="00DF050A" w:rsidRPr="008F2979" w:rsidRDefault="00DF050A" w:rsidP="00304825">
            <w:pPr>
              <w:pStyle w:val="BodyText"/>
              <w:spacing w:before="0" w:after="0"/>
              <w:jc w:val="left"/>
              <w:rPr>
                <w:rFonts w:ascii="Times New Roman" w:hAnsi="Times New Roman" w:cs="Times New Roman"/>
                <w:bCs/>
                <w:sz w:val="22"/>
                <w:szCs w:val="22"/>
              </w:rPr>
            </w:pPr>
          </w:p>
          <w:p w14:paraId="6C378A1C" w14:textId="77777777" w:rsidR="00DF050A" w:rsidRPr="008F2979" w:rsidRDefault="00DF050A" w:rsidP="00304825">
            <w:pPr>
              <w:pStyle w:val="BodyText"/>
              <w:spacing w:before="0" w:after="0"/>
              <w:jc w:val="left"/>
              <w:rPr>
                <w:rFonts w:ascii="Times New Roman" w:hAnsi="Times New Roman" w:cs="Times New Roman"/>
                <w:bCs/>
                <w:sz w:val="22"/>
                <w:szCs w:val="22"/>
              </w:rPr>
            </w:pPr>
            <w:r w:rsidRPr="008F2979">
              <w:rPr>
                <w:rFonts w:ascii="Times New Roman" w:hAnsi="Times New Roman" w:cs="Times New Roman"/>
                <w:bCs/>
                <w:sz w:val="22"/>
                <w:szCs w:val="22"/>
              </w:rPr>
              <w:t xml:space="preserve">-Médecin spécialiste en VBG </w:t>
            </w:r>
          </w:p>
          <w:p w14:paraId="29BA3F52" w14:textId="77777777" w:rsidR="00DF050A" w:rsidRPr="008F2979" w:rsidRDefault="00DF050A" w:rsidP="00304825">
            <w:pPr>
              <w:pStyle w:val="BodyText"/>
              <w:spacing w:before="0" w:after="0"/>
              <w:jc w:val="left"/>
              <w:rPr>
                <w:rFonts w:ascii="Times New Roman" w:hAnsi="Times New Roman" w:cs="Times New Roman"/>
                <w:bCs/>
                <w:sz w:val="22"/>
                <w:szCs w:val="22"/>
              </w:rPr>
            </w:pPr>
          </w:p>
          <w:p w14:paraId="691BFD09" w14:textId="77777777" w:rsidR="00DF050A" w:rsidRPr="008F2979" w:rsidRDefault="00DF050A" w:rsidP="00304825">
            <w:pPr>
              <w:pStyle w:val="BodyText"/>
              <w:spacing w:before="0" w:after="0"/>
              <w:jc w:val="left"/>
              <w:rPr>
                <w:rFonts w:ascii="Times New Roman" w:hAnsi="Times New Roman" w:cs="Times New Roman"/>
                <w:bCs/>
                <w:sz w:val="22"/>
                <w:szCs w:val="22"/>
              </w:rPr>
            </w:pPr>
            <w:r w:rsidRPr="008F2979">
              <w:rPr>
                <w:rFonts w:ascii="Times New Roman" w:hAnsi="Times New Roman" w:cs="Times New Roman"/>
                <w:bCs/>
                <w:sz w:val="22"/>
                <w:szCs w:val="22"/>
              </w:rPr>
              <w:t xml:space="preserve">-Expert en sciences de l’éducation </w:t>
            </w:r>
          </w:p>
          <w:p w14:paraId="71C730B6" w14:textId="77777777" w:rsidR="00DF050A" w:rsidRPr="00C94BAA" w:rsidRDefault="00DF050A" w:rsidP="00304825">
            <w:pPr>
              <w:pStyle w:val="BodyText"/>
              <w:spacing w:before="0" w:after="0"/>
              <w:jc w:val="left"/>
              <w:rPr>
                <w:rFonts w:ascii="Times New Roman" w:hAnsi="Times New Roman" w:cs="Times New Roman"/>
                <w:bCs/>
                <w:sz w:val="22"/>
                <w:szCs w:val="22"/>
              </w:rPr>
            </w:pPr>
          </w:p>
        </w:tc>
        <w:tc>
          <w:tcPr>
            <w:tcW w:w="1711" w:type="dxa"/>
          </w:tcPr>
          <w:p w14:paraId="01A4AC49" w14:textId="77777777" w:rsidR="00DF050A" w:rsidRPr="00C94BAA" w:rsidRDefault="00DF050A" w:rsidP="00304825">
            <w:pPr>
              <w:pStyle w:val="BodyText"/>
              <w:spacing w:before="0" w:after="0"/>
              <w:jc w:val="left"/>
              <w:rPr>
                <w:rFonts w:ascii="Times New Roman" w:hAnsi="Times New Roman" w:cs="Times New Roman"/>
                <w:bCs/>
                <w:sz w:val="22"/>
                <w:szCs w:val="22"/>
              </w:rPr>
            </w:pPr>
            <w:r w:rsidRPr="008F2979">
              <w:rPr>
                <w:rFonts w:ascii="Times New Roman" w:hAnsi="Times New Roman" w:cs="Times New Roman"/>
                <w:sz w:val="22"/>
                <w:szCs w:val="22"/>
              </w:rPr>
              <w:lastRenderedPageBreak/>
              <w:t>Pendant la mise en œuvre du Projet</w:t>
            </w:r>
          </w:p>
        </w:tc>
        <w:tc>
          <w:tcPr>
            <w:tcW w:w="2261" w:type="dxa"/>
            <w:shd w:val="clear" w:color="auto" w:fill="FFFFFF" w:themeFill="background1"/>
          </w:tcPr>
          <w:p w14:paraId="25720ADE" w14:textId="77777777" w:rsidR="00DF050A" w:rsidRPr="00C94BAA" w:rsidRDefault="00DF050A" w:rsidP="00DF050A">
            <w:pPr>
              <w:pStyle w:val="BodyText"/>
              <w:numPr>
                <w:ilvl w:val="0"/>
                <w:numId w:val="40"/>
              </w:numPr>
              <w:spacing w:before="0" w:after="0"/>
              <w:ind w:left="321" w:hanging="270"/>
              <w:jc w:val="left"/>
              <w:rPr>
                <w:rFonts w:ascii="Times New Roman" w:hAnsi="Times New Roman" w:cs="Times New Roman"/>
                <w:b/>
                <w:sz w:val="22"/>
                <w:szCs w:val="22"/>
              </w:rPr>
            </w:pPr>
            <w:r w:rsidRPr="00C94BAA">
              <w:rPr>
                <w:rFonts w:ascii="Times New Roman" w:eastAsia="MS Mincho" w:hAnsi="Times New Roman" w:cs="Times New Roman"/>
                <w:b/>
                <w:sz w:val="22"/>
                <w:szCs w:val="22"/>
              </w:rPr>
              <w:t>Plan de formation et sensibilisation :</w:t>
            </w:r>
          </w:p>
          <w:p w14:paraId="2317AFC8" w14:textId="77777777" w:rsidR="00DF050A" w:rsidRPr="00C94BAA" w:rsidRDefault="00DF050A" w:rsidP="00304825">
            <w:pPr>
              <w:pStyle w:val="BodyText"/>
              <w:spacing w:before="0" w:after="0"/>
              <w:ind w:left="51"/>
              <w:jc w:val="left"/>
              <w:rPr>
                <w:rFonts w:ascii="Times New Roman" w:eastAsia="MS Mincho" w:hAnsi="Times New Roman" w:cs="Times New Roman"/>
                <w:b/>
                <w:sz w:val="22"/>
                <w:szCs w:val="22"/>
              </w:rPr>
            </w:pPr>
          </w:p>
          <w:p w14:paraId="5EBF556C" w14:textId="77777777" w:rsidR="00DF050A" w:rsidRPr="00C94BAA" w:rsidRDefault="00DF050A" w:rsidP="00304825">
            <w:pPr>
              <w:pStyle w:val="BodyText"/>
              <w:spacing w:before="0" w:after="0"/>
              <w:ind w:left="51"/>
              <w:jc w:val="left"/>
              <w:rPr>
                <w:rFonts w:ascii="Times New Roman" w:hAnsi="Times New Roman" w:cs="Times New Roman"/>
                <w:bCs/>
                <w:sz w:val="22"/>
                <w:szCs w:val="22"/>
              </w:rPr>
            </w:pPr>
            <w:r w:rsidRPr="00C94BAA">
              <w:rPr>
                <w:rFonts w:ascii="Times New Roman" w:eastAsia="MS Mincho" w:hAnsi="Times New Roman" w:cs="Times New Roman"/>
                <w:bCs/>
                <w:sz w:val="22"/>
                <w:szCs w:val="22"/>
              </w:rPr>
              <w:t>% du personnel du projet qui reçoit une formation</w:t>
            </w:r>
            <w:r w:rsidRPr="00C94BAA">
              <w:rPr>
                <w:rFonts w:ascii="Times New Roman" w:hAnsi="Times New Roman" w:cs="Times New Roman"/>
                <w:bCs/>
                <w:sz w:val="22"/>
                <w:szCs w:val="22"/>
              </w:rPr>
              <w:t xml:space="preserve"> concernant les risques d’EAS/HS, y compris les codes de conduite et le MGP</w:t>
            </w:r>
          </w:p>
          <w:p w14:paraId="6D3CF68C" w14:textId="77777777" w:rsidR="00DF050A" w:rsidRPr="00C94BAA" w:rsidRDefault="00DF050A" w:rsidP="00304825">
            <w:pPr>
              <w:pStyle w:val="BodyText"/>
              <w:spacing w:before="0" w:after="0"/>
              <w:ind w:left="51"/>
              <w:jc w:val="left"/>
              <w:rPr>
                <w:rFonts w:ascii="Times New Roman" w:hAnsi="Times New Roman" w:cs="Times New Roman"/>
                <w:bCs/>
                <w:sz w:val="22"/>
                <w:szCs w:val="22"/>
              </w:rPr>
            </w:pPr>
          </w:p>
          <w:p w14:paraId="56CB4701" w14:textId="77777777" w:rsidR="00DF050A" w:rsidRPr="00C94BAA" w:rsidRDefault="00DF050A" w:rsidP="00304825">
            <w:pPr>
              <w:pStyle w:val="BodyText"/>
              <w:spacing w:before="0" w:after="0"/>
              <w:ind w:left="51"/>
              <w:jc w:val="left"/>
              <w:rPr>
                <w:rFonts w:ascii="Times New Roman" w:eastAsia="MS Mincho" w:hAnsi="Times New Roman" w:cs="Times New Roman"/>
                <w:bCs/>
                <w:sz w:val="22"/>
                <w:szCs w:val="22"/>
              </w:rPr>
            </w:pPr>
            <w:r w:rsidRPr="00C94BAA">
              <w:rPr>
                <w:rFonts w:ascii="Times New Roman" w:hAnsi="Times New Roman" w:cs="Times New Roman"/>
                <w:bCs/>
                <w:sz w:val="22"/>
                <w:szCs w:val="22"/>
              </w:rPr>
              <w:lastRenderedPageBreak/>
              <w:t>% du personnel formé qui montre des connaissances accrues après la formation (qui reçoivent une note sur le post-test au-delà de 80%)</w:t>
            </w:r>
          </w:p>
          <w:p w14:paraId="4F6FCBCD" w14:textId="77777777" w:rsidR="00DF050A" w:rsidRPr="00C94BAA" w:rsidRDefault="00DF050A" w:rsidP="00304825">
            <w:pPr>
              <w:pStyle w:val="BodyText"/>
              <w:spacing w:before="0" w:after="0"/>
              <w:ind w:left="51"/>
              <w:jc w:val="left"/>
              <w:rPr>
                <w:rFonts w:ascii="Times New Roman" w:eastAsia="MS Mincho" w:hAnsi="Times New Roman" w:cs="Times New Roman"/>
                <w:bCs/>
                <w:sz w:val="22"/>
                <w:szCs w:val="22"/>
              </w:rPr>
            </w:pPr>
          </w:p>
          <w:p w14:paraId="0EEA5A88" w14:textId="77777777" w:rsidR="00DF050A" w:rsidRPr="00C94BAA" w:rsidRDefault="00DF050A" w:rsidP="00304825">
            <w:pPr>
              <w:pStyle w:val="BodyText"/>
              <w:spacing w:before="0" w:after="0"/>
              <w:ind w:left="51"/>
              <w:jc w:val="left"/>
              <w:rPr>
                <w:rFonts w:ascii="Times New Roman" w:eastAsia="MS Mincho" w:hAnsi="Times New Roman" w:cs="Times New Roman"/>
                <w:bCs/>
                <w:sz w:val="22"/>
                <w:szCs w:val="22"/>
              </w:rPr>
            </w:pPr>
            <w:r w:rsidRPr="00C94BAA">
              <w:rPr>
                <w:rFonts w:ascii="Times New Roman" w:eastAsia="MS Mincho" w:hAnsi="Times New Roman" w:cs="Times New Roman"/>
                <w:bCs/>
                <w:sz w:val="22"/>
                <w:szCs w:val="22"/>
              </w:rPr>
              <w:t>% des travailleurs qui reçoivent u</w:t>
            </w:r>
            <w:r w:rsidRPr="00C94BAA">
              <w:rPr>
                <w:rFonts w:ascii="Times New Roman" w:hAnsi="Times New Roman" w:cs="Times New Roman"/>
                <w:bCs/>
                <w:sz w:val="22"/>
                <w:szCs w:val="22"/>
              </w:rPr>
              <w:t xml:space="preserve">ne formation </w:t>
            </w:r>
            <w:r w:rsidRPr="00C94BAA">
              <w:rPr>
                <w:rFonts w:ascii="Times New Roman" w:eastAsia="MS Mincho" w:hAnsi="Times New Roman" w:cs="Times New Roman"/>
                <w:bCs/>
                <w:sz w:val="22"/>
                <w:szCs w:val="22"/>
              </w:rPr>
              <w:t>sur l’EAS/HS, y compris les codes de conduite et le MGP</w:t>
            </w:r>
          </w:p>
          <w:p w14:paraId="4F9FCBD4" w14:textId="77777777" w:rsidR="00DF050A" w:rsidRPr="00C94BAA" w:rsidRDefault="00DF050A" w:rsidP="00304825">
            <w:pPr>
              <w:pStyle w:val="BodyText"/>
              <w:spacing w:before="0" w:after="0"/>
              <w:ind w:left="51"/>
              <w:jc w:val="left"/>
              <w:rPr>
                <w:rFonts w:ascii="Times New Roman" w:hAnsi="Times New Roman" w:cs="Times New Roman"/>
                <w:bCs/>
                <w:sz w:val="22"/>
                <w:szCs w:val="22"/>
              </w:rPr>
            </w:pPr>
          </w:p>
          <w:p w14:paraId="405B553D" w14:textId="77777777" w:rsidR="00DF050A" w:rsidRPr="00C94BAA" w:rsidRDefault="00DF050A" w:rsidP="00304825">
            <w:pPr>
              <w:pStyle w:val="BodyText"/>
              <w:spacing w:before="0" w:after="0"/>
              <w:ind w:left="51"/>
              <w:jc w:val="left"/>
              <w:rPr>
                <w:rFonts w:ascii="Times New Roman" w:eastAsia="MS Mincho" w:hAnsi="Times New Roman" w:cs="Times New Roman"/>
                <w:bCs/>
                <w:sz w:val="22"/>
                <w:szCs w:val="22"/>
              </w:rPr>
            </w:pPr>
            <w:r w:rsidRPr="00C94BAA">
              <w:rPr>
                <w:rFonts w:ascii="Times New Roman" w:hAnsi="Times New Roman" w:cs="Times New Roman"/>
                <w:bCs/>
                <w:sz w:val="22"/>
                <w:szCs w:val="22"/>
              </w:rPr>
              <w:t>% des travailleurs formés qui montrent des connaissances accrues après la formation (qui reçoivent une note sur le post-test au-delà de 70%)</w:t>
            </w:r>
          </w:p>
          <w:p w14:paraId="0AE1DB1B" w14:textId="77777777" w:rsidR="00DF050A" w:rsidRPr="00C94BAA" w:rsidRDefault="00DF050A" w:rsidP="00304825">
            <w:pPr>
              <w:pStyle w:val="BodyText"/>
              <w:spacing w:before="0" w:after="0"/>
              <w:ind w:left="51"/>
              <w:jc w:val="left"/>
              <w:rPr>
                <w:rFonts w:ascii="Times New Roman" w:eastAsia="MS Mincho" w:hAnsi="Times New Roman" w:cs="Times New Roman"/>
                <w:bCs/>
                <w:sz w:val="22"/>
                <w:szCs w:val="22"/>
              </w:rPr>
            </w:pPr>
          </w:p>
          <w:p w14:paraId="159F5B66" w14:textId="77777777" w:rsidR="00DF050A" w:rsidRPr="00C94BAA" w:rsidRDefault="00DF050A" w:rsidP="00304825">
            <w:pPr>
              <w:pStyle w:val="BodyText"/>
              <w:spacing w:before="0" w:after="0"/>
              <w:ind w:left="51"/>
              <w:jc w:val="left"/>
              <w:rPr>
                <w:rFonts w:ascii="Times New Roman" w:eastAsia="MS Mincho" w:hAnsi="Times New Roman" w:cs="Times New Roman"/>
                <w:bCs/>
                <w:sz w:val="22"/>
                <w:szCs w:val="22"/>
              </w:rPr>
            </w:pPr>
            <w:r w:rsidRPr="00C94BAA">
              <w:rPr>
                <w:rFonts w:ascii="Times New Roman" w:eastAsia="MS Mincho" w:hAnsi="Times New Roman" w:cs="Times New Roman"/>
                <w:bCs/>
                <w:sz w:val="22"/>
                <w:szCs w:val="22"/>
              </w:rPr>
              <w:t>Nombre de consultations communautaires avec les femmes et dans combien de zones d’intervention</w:t>
            </w:r>
          </w:p>
          <w:p w14:paraId="1D822190" w14:textId="77777777" w:rsidR="00DF050A" w:rsidRPr="00C94BAA" w:rsidRDefault="00DF050A" w:rsidP="00304825">
            <w:pPr>
              <w:pStyle w:val="BodyText"/>
              <w:spacing w:before="0" w:after="0"/>
              <w:ind w:left="51"/>
              <w:jc w:val="left"/>
              <w:rPr>
                <w:rFonts w:ascii="Times New Roman" w:eastAsia="MS Mincho" w:hAnsi="Times New Roman" w:cs="Times New Roman"/>
                <w:bCs/>
                <w:sz w:val="22"/>
                <w:szCs w:val="22"/>
              </w:rPr>
            </w:pPr>
          </w:p>
          <w:p w14:paraId="244E4C0F" w14:textId="77777777" w:rsidR="00DF050A" w:rsidRPr="00C94BAA" w:rsidRDefault="00DF050A" w:rsidP="00304825">
            <w:pPr>
              <w:pStyle w:val="BodyText"/>
              <w:spacing w:before="0" w:after="0"/>
              <w:ind w:left="51"/>
              <w:jc w:val="left"/>
              <w:rPr>
                <w:rFonts w:ascii="Times New Roman" w:eastAsia="MS Mincho" w:hAnsi="Times New Roman" w:cs="Times New Roman"/>
                <w:bCs/>
                <w:sz w:val="22"/>
                <w:szCs w:val="22"/>
              </w:rPr>
            </w:pPr>
            <w:r w:rsidRPr="00C94BAA">
              <w:rPr>
                <w:rFonts w:ascii="Times New Roman" w:eastAsia="MS Mincho" w:hAnsi="Times New Roman" w:cs="Times New Roman"/>
                <w:bCs/>
                <w:sz w:val="22"/>
                <w:szCs w:val="22"/>
              </w:rPr>
              <w:t>Nombre de femmes consultées</w:t>
            </w:r>
          </w:p>
          <w:p w14:paraId="6AC89E82" w14:textId="77777777" w:rsidR="00DF050A" w:rsidRPr="00C94BAA" w:rsidRDefault="00DF050A" w:rsidP="00304825">
            <w:pPr>
              <w:pStyle w:val="BodyText"/>
              <w:spacing w:before="0" w:after="0"/>
              <w:ind w:left="51"/>
              <w:jc w:val="left"/>
              <w:rPr>
                <w:rFonts w:ascii="Times New Roman" w:eastAsia="MS Mincho" w:hAnsi="Times New Roman" w:cs="Times New Roman"/>
                <w:bCs/>
                <w:sz w:val="22"/>
                <w:szCs w:val="22"/>
              </w:rPr>
            </w:pPr>
          </w:p>
          <w:p w14:paraId="2D75D0DF" w14:textId="77777777" w:rsidR="00DF050A" w:rsidRPr="00C94BAA" w:rsidRDefault="00DF050A" w:rsidP="00304825">
            <w:pPr>
              <w:pStyle w:val="BodyText"/>
              <w:spacing w:before="0" w:after="0"/>
              <w:ind w:left="51"/>
              <w:jc w:val="left"/>
              <w:rPr>
                <w:rFonts w:ascii="Times New Roman" w:hAnsi="Times New Roman" w:cs="Times New Roman"/>
                <w:bCs/>
                <w:sz w:val="22"/>
                <w:szCs w:val="22"/>
              </w:rPr>
            </w:pPr>
            <w:r w:rsidRPr="00C94BAA">
              <w:rPr>
                <w:rFonts w:ascii="Times New Roman" w:hAnsi="Times New Roman" w:cs="Times New Roman"/>
                <w:bCs/>
                <w:sz w:val="22"/>
                <w:szCs w:val="22"/>
              </w:rPr>
              <w:lastRenderedPageBreak/>
              <w:t>Nombre de sensibilisations communautaires menées</w:t>
            </w:r>
          </w:p>
          <w:p w14:paraId="1BDAC75E" w14:textId="77777777" w:rsidR="00DF050A" w:rsidRPr="00C94BAA" w:rsidRDefault="00DF050A" w:rsidP="00304825">
            <w:pPr>
              <w:pStyle w:val="BodyText"/>
              <w:spacing w:before="0" w:after="0"/>
              <w:ind w:left="51"/>
              <w:jc w:val="left"/>
              <w:rPr>
                <w:rFonts w:ascii="Times New Roman" w:hAnsi="Times New Roman" w:cs="Times New Roman"/>
                <w:bCs/>
                <w:sz w:val="22"/>
                <w:szCs w:val="22"/>
              </w:rPr>
            </w:pPr>
          </w:p>
          <w:p w14:paraId="331F1826" w14:textId="77777777" w:rsidR="00DF050A" w:rsidRPr="00C94BAA" w:rsidRDefault="00DF050A" w:rsidP="00304825">
            <w:pPr>
              <w:pStyle w:val="BodyText"/>
              <w:spacing w:before="0" w:after="0"/>
              <w:ind w:left="51"/>
              <w:jc w:val="left"/>
              <w:rPr>
                <w:rFonts w:ascii="Times New Roman" w:hAnsi="Times New Roman" w:cs="Times New Roman"/>
                <w:bCs/>
                <w:sz w:val="22"/>
                <w:szCs w:val="22"/>
              </w:rPr>
            </w:pPr>
            <w:r w:rsidRPr="00C94BAA">
              <w:rPr>
                <w:rFonts w:ascii="Times New Roman" w:hAnsi="Times New Roman" w:cs="Times New Roman"/>
                <w:bCs/>
                <w:sz w:val="22"/>
                <w:szCs w:val="22"/>
              </w:rPr>
              <w:t>Nombre de participants dans ces sensibilisations communautaires (désagrégés par sexe et tranche d’âge)</w:t>
            </w:r>
          </w:p>
        </w:tc>
        <w:tc>
          <w:tcPr>
            <w:tcW w:w="1479" w:type="dxa"/>
            <w:shd w:val="clear" w:color="auto" w:fill="E7E6E6" w:themeFill="background2"/>
          </w:tcPr>
          <w:p w14:paraId="4AEE29B8" w14:textId="77777777" w:rsidR="00DF050A" w:rsidRPr="00C94BAA" w:rsidRDefault="00DF050A" w:rsidP="00304825">
            <w:pPr>
              <w:pStyle w:val="BodyText"/>
              <w:spacing w:before="0" w:after="0"/>
              <w:jc w:val="left"/>
              <w:rPr>
                <w:rFonts w:ascii="Times New Roman" w:hAnsi="Times New Roman" w:cs="Times New Roman"/>
                <w:bCs/>
                <w:sz w:val="22"/>
                <w:szCs w:val="22"/>
              </w:rPr>
            </w:pPr>
            <w:r>
              <w:rPr>
                <w:rFonts w:ascii="Times New Roman" w:hAnsi="Times New Roman" w:cs="Times New Roman"/>
                <w:bCs/>
                <w:sz w:val="22"/>
                <w:szCs w:val="22"/>
              </w:rPr>
              <w:lastRenderedPageBreak/>
              <w:t>2 000 000 FCFA</w:t>
            </w:r>
          </w:p>
        </w:tc>
      </w:tr>
    </w:tbl>
    <w:p w14:paraId="38C85C42" w14:textId="77777777" w:rsidR="00DF050A" w:rsidRPr="00C94BAA" w:rsidRDefault="00DF050A" w:rsidP="00DF050A">
      <w:pPr>
        <w:rPr>
          <w:rFonts w:ascii="Times New Roman" w:hAnsi="Times New Roman" w:cs="Times New Roman"/>
        </w:rPr>
      </w:pPr>
    </w:p>
    <w:p w14:paraId="2D4A62A6" w14:textId="77777777" w:rsidR="007D424A" w:rsidRPr="00C94BAA" w:rsidRDefault="007D424A" w:rsidP="007D424A">
      <w:pPr>
        <w:rPr>
          <w:rFonts w:ascii="Times New Roman" w:hAnsi="Times New Roman" w:cs="Times New Roman"/>
        </w:rPr>
      </w:pPr>
    </w:p>
    <w:p w14:paraId="19B74A55" w14:textId="77777777" w:rsidR="007D424A" w:rsidRPr="00C94BAA" w:rsidRDefault="007D424A" w:rsidP="007D424A">
      <w:pPr>
        <w:jc w:val="both"/>
        <w:rPr>
          <w:rFonts w:ascii="Times New Roman" w:hAnsi="Times New Roman" w:cs="Times New Roman"/>
          <w:u w:val="single"/>
        </w:rPr>
      </w:pPr>
      <w:r w:rsidRPr="00C94BAA">
        <w:rPr>
          <w:rFonts w:ascii="Times New Roman" w:hAnsi="Times New Roman" w:cs="Times New Roman"/>
          <w:b/>
          <w:bCs/>
          <w:u w:val="single"/>
        </w:rPr>
        <w:t xml:space="preserve">NB : Composante 3 « Renforcement des capacités nationales et activités de plaidoyer pour l’autonomisation des femmes » ne présente pas de risques de VBG, EAS et HS. </w:t>
      </w:r>
    </w:p>
    <w:p w14:paraId="5043B114" w14:textId="45FDCA50" w:rsidR="00FB5BBB" w:rsidRPr="007D424A" w:rsidRDefault="00FB5BBB">
      <w:pPr>
        <w:spacing w:after="0" w:line="240" w:lineRule="auto"/>
        <w:rPr>
          <w:sz w:val="20"/>
          <w:szCs w:val="20"/>
        </w:rPr>
      </w:pPr>
    </w:p>
    <w:p w14:paraId="3276535C" w14:textId="77777777" w:rsidR="00E02032" w:rsidRPr="007D424A" w:rsidRDefault="00E02032" w:rsidP="00E02032">
      <w:pPr>
        <w:pStyle w:val="FootnoteText"/>
        <w:jc w:val="both"/>
      </w:pPr>
    </w:p>
    <w:p w14:paraId="668A0D40" w14:textId="77777777" w:rsidR="00E02032" w:rsidRPr="007D424A" w:rsidRDefault="00E02032"/>
    <w:sectPr w:rsidR="00E02032" w:rsidRPr="007D424A" w:rsidSect="007D424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ADD14" w14:textId="77777777" w:rsidR="006A7F6F" w:rsidRDefault="006A7F6F" w:rsidP="00E02032">
      <w:pPr>
        <w:spacing w:after="0" w:line="240" w:lineRule="auto"/>
      </w:pPr>
      <w:r>
        <w:separator/>
      </w:r>
    </w:p>
    <w:p w14:paraId="66101644" w14:textId="77777777" w:rsidR="006A7F6F" w:rsidRDefault="006A7F6F"/>
  </w:endnote>
  <w:endnote w:type="continuationSeparator" w:id="0">
    <w:p w14:paraId="4B5CE859" w14:textId="77777777" w:rsidR="006A7F6F" w:rsidRDefault="006A7F6F" w:rsidP="00E02032">
      <w:pPr>
        <w:spacing w:after="0" w:line="240" w:lineRule="auto"/>
      </w:pPr>
      <w:r>
        <w:continuationSeparator/>
      </w:r>
    </w:p>
    <w:p w14:paraId="464A7E17" w14:textId="77777777" w:rsidR="006A7F6F" w:rsidRDefault="006A7F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ILIFMI+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Light">
    <w:altName w:val="Calibri"/>
    <w:charset w:val="4D"/>
    <w:family w:val="swiss"/>
    <w:pitch w:val="variable"/>
    <w:sig w:usb0="800000AF" w:usb1="5000204A" w:usb2="00000000" w:usb3="00000000" w:csb0="0000009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3F30C" w14:textId="77777777" w:rsidR="00352184" w:rsidRDefault="00352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CB1D7" w14:textId="77777777" w:rsidR="00E02032" w:rsidRDefault="00E02032">
    <w:pPr>
      <w:pStyle w:val="Footer"/>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17</w:t>
    </w:r>
    <w:r>
      <w:rPr>
        <w:caps/>
        <w:color w:val="4472C4" w:themeColor="accent1"/>
      </w:rPr>
      <w:fldChar w:fldCharType="end"/>
    </w:r>
  </w:p>
  <w:p w14:paraId="094F6218" w14:textId="77777777" w:rsidR="00E02032" w:rsidRDefault="00E020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2651D" w14:textId="77777777" w:rsidR="00352184" w:rsidRDefault="003521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A224A" w14:textId="77777777" w:rsidR="00E02032" w:rsidRDefault="00E02032">
    <w:pPr>
      <w:pStyle w:val="Footer"/>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17</w:t>
    </w:r>
    <w:r>
      <w:rPr>
        <w:caps/>
        <w:color w:val="4472C4" w:themeColor="accent1"/>
      </w:rPr>
      <w:fldChar w:fldCharType="end"/>
    </w:r>
  </w:p>
  <w:p w14:paraId="2AE24ED8" w14:textId="77777777" w:rsidR="00E02032" w:rsidRDefault="00E0203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0636622"/>
      <w:docPartObj>
        <w:docPartGallery w:val="Page Numbers (Bottom of Page)"/>
        <w:docPartUnique/>
      </w:docPartObj>
    </w:sdtPr>
    <w:sdtEndPr>
      <w:rPr>
        <w:noProof/>
      </w:rPr>
    </w:sdtEndPr>
    <w:sdtContent>
      <w:p w14:paraId="757657F4" w14:textId="5991252E" w:rsidR="00711B7A" w:rsidRDefault="00711B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D9745D" w14:textId="77777777" w:rsidR="00E02032" w:rsidRDefault="00E02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3FC4C" w14:textId="77777777" w:rsidR="006A7F6F" w:rsidRDefault="006A7F6F" w:rsidP="00E02032">
      <w:pPr>
        <w:spacing w:after="0" w:line="240" w:lineRule="auto"/>
      </w:pPr>
      <w:r>
        <w:separator/>
      </w:r>
    </w:p>
    <w:p w14:paraId="2D02C28E" w14:textId="77777777" w:rsidR="006A7F6F" w:rsidRDefault="006A7F6F"/>
  </w:footnote>
  <w:footnote w:type="continuationSeparator" w:id="0">
    <w:p w14:paraId="263D913A" w14:textId="77777777" w:rsidR="006A7F6F" w:rsidRDefault="006A7F6F" w:rsidP="00E02032">
      <w:pPr>
        <w:spacing w:after="0" w:line="240" w:lineRule="auto"/>
      </w:pPr>
      <w:r>
        <w:continuationSeparator/>
      </w:r>
    </w:p>
    <w:p w14:paraId="22F93032" w14:textId="77777777" w:rsidR="006A7F6F" w:rsidRDefault="006A7F6F"/>
  </w:footnote>
  <w:footnote w:id="1">
    <w:p w14:paraId="7D90E47B" w14:textId="77777777" w:rsidR="00E02032" w:rsidRPr="003346D7" w:rsidRDefault="00E02032" w:rsidP="00E02032">
      <w:pPr>
        <w:rPr>
          <w:rFonts w:ascii="Times New Roman" w:eastAsia="Times New Roman" w:hAnsi="Times New Roman" w:cs="Times New Roman"/>
          <w:sz w:val="24"/>
          <w:szCs w:val="24"/>
        </w:rPr>
      </w:pPr>
      <w:r>
        <w:rPr>
          <w:rStyle w:val="FootnoteReference"/>
        </w:rPr>
        <w:footnoteRef/>
      </w:r>
      <w:r>
        <w:t xml:space="preserve"> </w:t>
      </w:r>
      <w:r w:rsidRPr="003346D7">
        <w:rPr>
          <w:sz w:val="20"/>
          <w:szCs w:val="20"/>
        </w:rPr>
        <w:t>OMS, 2013</w:t>
      </w:r>
    </w:p>
  </w:footnote>
  <w:footnote w:id="2">
    <w:p w14:paraId="3A9A3F24" w14:textId="77777777" w:rsidR="00E02032" w:rsidRDefault="00E02032" w:rsidP="00E02032">
      <w:pPr>
        <w:pStyle w:val="FootnoteText"/>
      </w:pPr>
      <w:r>
        <w:rPr>
          <w:rStyle w:val="FootnoteReference"/>
        </w:rPr>
        <w:footnoteRef/>
      </w:r>
      <w:r>
        <w:t xml:space="preserve"> Ellsberrg et coll. 2014</w:t>
      </w:r>
    </w:p>
  </w:footnote>
  <w:footnote w:id="3">
    <w:p w14:paraId="4A7516AD" w14:textId="77777777" w:rsidR="00E02032" w:rsidRDefault="00E02032" w:rsidP="00E02032">
      <w:pPr>
        <w:pStyle w:val="FootnoteText"/>
      </w:pPr>
      <w:r>
        <w:rPr>
          <w:rStyle w:val="FootnoteReference"/>
        </w:rPr>
        <w:footnoteRef/>
      </w:r>
      <w:r>
        <w:t xml:space="preserve"> </w:t>
      </w:r>
      <w:r w:rsidRPr="00BC732D">
        <w:t>https://www.unwomen.org/en/news/stories/2016/9/speech-by-lakshmi-puri-on-economic-costs-of-violence-against-women. </w:t>
      </w:r>
    </w:p>
    <w:p w14:paraId="08F3D972" w14:textId="77777777" w:rsidR="00E02032" w:rsidRDefault="00E02032" w:rsidP="00E02032">
      <w:pPr>
        <w:pStyle w:val="FootnoteText"/>
      </w:pPr>
      <w:r w:rsidRPr="00BC732D">
        <w:t>Voir également une étude de CARE: </w:t>
      </w:r>
    </w:p>
    <w:p w14:paraId="0DE9A1CA" w14:textId="77777777" w:rsidR="00E02032" w:rsidRDefault="007444D7" w:rsidP="00E02032">
      <w:pPr>
        <w:pStyle w:val="FootnoteText"/>
      </w:pPr>
      <w:hyperlink r:id="rId1" w:history="1">
        <w:r w:rsidR="00E02032" w:rsidRPr="00BC732D">
          <w:rPr>
            <w:rStyle w:val="Hyperlink"/>
          </w:rPr>
          <w:t>https://www.care-international.org/files/files/Counting_the_costofViolence.pdf</w:t>
        </w:r>
      </w:hyperlink>
    </w:p>
    <w:p w14:paraId="56F07EC6" w14:textId="77777777" w:rsidR="00E02032" w:rsidRDefault="00E02032" w:rsidP="00E02032">
      <w:pPr>
        <w:pStyle w:val="FootnoteText"/>
      </w:pPr>
    </w:p>
  </w:footnote>
  <w:footnote w:id="4">
    <w:p w14:paraId="633C5B34" w14:textId="77777777" w:rsidR="00E02032" w:rsidRDefault="00E02032" w:rsidP="00E02032">
      <w:pPr>
        <w:pStyle w:val="FootnoteText"/>
      </w:pPr>
      <w:r>
        <w:rPr>
          <w:rStyle w:val="FootnoteReference"/>
        </w:rPr>
        <w:footnoteRef/>
      </w:r>
      <w:r>
        <w:t xml:space="preserve"> </w:t>
      </w:r>
      <w:r w:rsidRPr="00BC732D">
        <w:t>UNOCHA, République centrafricaine: Rapport de situation, 5 janvier 2021.</w:t>
      </w:r>
    </w:p>
  </w:footnote>
  <w:footnote w:id="5">
    <w:p w14:paraId="1D83BB99" w14:textId="77777777" w:rsidR="00E02032" w:rsidRDefault="00E02032" w:rsidP="00E02032">
      <w:pPr>
        <w:pStyle w:val="FootnoteText"/>
      </w:pPr>
      <w:r>
        <w:rPr>
          <w:rStyle w:val="FootnoteReference"/>
        </w:rPr>
        <w:footnoteRef/>
      </w:r>
      <w:r>
        <w:t xml:space="preserve"> </w:t>
      </w:r>
      <w:r w:rsidRPr="00BC732D">
        <w:t>UNOCHA, République centrafricaine: Rapport de situation, 4 février 2021.</w:t>
      </w:r>
    </w:p>
  </w:footnote>
  <w:footnote w:id="6">
    <w:p w14:paraId="61C0B106" w14:textId="77777777" w:rsidR="00E02032" w:rsidRDefault="00E02032" w:rsidP="00E02032">
      <w:pPr>
        <w:pStyle w:val="FootnoteText"/>
      </w:pPr>
      <w:r>
        <w:rPr>
          <w:rStyle w:val="FootnoteReference"/>
        </w:rPr>
        <w:footnoteRef/>
      </w:r>
      <w:r>
        <w:t xml:space="preserve"> Note de bonnes pratiques, opus cit. page 7. </w:t>
      </w:r>
    </w:p>
  </w:footnote>
  <w:footnote w:id="7">
    <w:p w14:paraId="38542838" w14:textId="77777777" w:rsidR="00E02032" w:rsidRDefault="00E02032" w:rsidP="00E02032">
      <w:pPr>
        <w:pStyle w:val="FootnoteText"/>
      </w:pPr>
      <w:r>
        <w:rPr>
          <w:rStyle w:val="FootnoteReference"/>
        </w:rPr>
        <w:footnoteRef/>
      </w:r>
      <w:r>
        <w:t xml:space="preserve"> </w:t>
      </w:r>
      <w:r w:rsidRPr="00BC732D">
        <w:rPr>
          <w:lang w:val="fr-CD"/>
        </w:rPr>
        <w:t>UNOCHA, République centrafricaine: Rapport de situation, 5 janvier 2021.</w:t>
      </w:r>
    </w:p>
  </w:footnote>
  <w:footnote w:id="8">
    <w:p w14:paraId="0F97BB8C" w14:textId="77777777" w:rsidR="00E02032" w:rsidRDefault="00E02032" w:rsidP="00E02032">
      <w:pPr>
        <w:pStyle w:val="FootnoteText"/>
        <w:tabs>
          <w:tab w:val="left" w:pos="627"/>
        </w:tabs>
      </w:pPr>
      <w:r>
        <w:rPr>
          <w:rStyle w:val="FootnoteReference"/>
        </w:rPr>
        <w:footnoteRef/>
      </w:r>
      <w:r>
        <w:t xml:space="preserve"> </w:t>
      </w:r>
      <w:r w:rsidRPr="00BC732D">
        <w:rPr>
          <w:lang w:val="fr-CD"/>
        </w:rPr>
        <w:t>UNOCHA, Central africaine République : Rapport de situation, opus. Cit .</w:t>
      </w:r>
    </w:p>
  </w:footnote>
  <w:footnote w:id="9">
    <w:p w14:paraId="4B029D1C" w14:textId="77777777" w:rsidR="00E02032" w:rsidRPr="0019641D" w:rsidRDefault="00E02032" w:rsidP="00E02032">
      <w:pPr>
        <w:pStyle w:val="FootnoteText"/>
        <w:jc w:val="both"/>
      </w:pPr>
      <w:r w:rsidRPr="00F333D6">
        <w:rPr>
          <w:rStyle w:val="FootnoteReference"/>
        </w:rPr>
        <w:footnoteRef/>
      </w:r>
      <w:r w:rsidRPr="0019641D">
        <w:t xml:space="preserve"> </w:t>
      </w:r>
      <w:r w:rsidRPr="00F333D6">
        <w:rPr>
          <w:rFonts w:cstheme="minorHAnsi"/>
        </w:rPr>
        <w:t>Stratégie Nationale De Lutte Contre Les Violences Basées Sur Le Genre En République Centrafricaine 2018-2022</w:t>
      </w:r>
    </w:p>
  </w:footnote>
  <w:footnote w:id="10">
    <w:p w14:paraId="3E521E4D" w14:textId="77777777" w:rsidR="00E02032" w:rsidRPr="002A38C7" w:rsidRDefault="00E02032" w:rsidP="00E02032">
      <w:pPr>
        <w:pStyle w:val="FootnoteText"/>
        <w:jc w:val="both"/>
      </w:pPr>
      <w:r>
        <w:rPr>
          <w:rStyle w:val="FootnoteReference"/>
        </w:rPr>
        <w:footnoteRef/>
      </w:r>
      <w:r w:rsidRPr="002A38C7">
        <w:t xml:space="preserve"> </w:t>
      </w:r>
      <w:r>
        <w:t xml:space="preserve">Ce tableau a été préparé par Monika Bakayoko-Topolska, dans le cadre de l’analyse des VBG réalisée en 2018 pour le projet PURACEL en RCA. Il est tiré de la </w:t>
      </w:r>
      <w:r w:rsidRPr="00F333D6">
        <w:rPr>
          <w:rFonts w:cstheme="minorHAnsi"/>
        </w:rPr>
        <w:t>Stratégie Nationale De Lutte Contre Les Violences Basées Sur Le Genre En République Centrafricaine 2018-2022</w:t>
      </w:r>
    </w:p>
  </w:footnote>
  <w:footnote w:id="11">
    <w:p w14:paraId="6F6155B9" w14:textId="77777777" w:rsidR="00E02032" w:rsidRPr="00BD0E75" w:rsidRDefault="00E02032" w:rsidP="00E02032">
      <w:pPr>
        <w:pStyle w:val="FootnoteText"/>
        <w:jc w:val="both"/>
      </w:pPr>
      <w:r w:rsidRPr="00F333D6">
        <w:rPr>
          <w:rStyle w:val="FootnoteReference"/>
        </w:rPr>
        <w:footnoteRef/>
      </w:r>
      <w:r w:rsidRPr="00BD0E75">
        <w:t xml:space="preserve"> GBVIMS (opus. It) </w:t>
      </w:r>
    </w:p>
  </w:footnote>
  <w:footnote w:id="12">
    <w:p w14:paraId="04228DAD" w14:textId="77777777" w:rsidR="00E02032" w:rsidRPr="0019641D" w:rsidRDefault="00E02032" w:rsidP="00E02032">
      <w:pPr>
        <w:pStyle w:val="FootnoteText"/>
        <w:jc w:val="both"/>
      </w:pPr>
      <w:r w:rsidRPr="00F333D6">
        <w:rPr>
          <w:rStyle w:val="FootnoteReference"/>
        </w:rPr>
        <w:footnoteRef/>
      </w:r>
      <w:r w:rsidRPr="0019641D">
        <w:t xml:space="preserve"> </w:t>
      </w:r>
      <w:bookmarkStart w:id="14" w:name="_Hlk499488263"/>
      <w:r w:rsidRPr="00F333D6">
        <w:rPr>
          <w:rFonts w:cstheme="minorHAnsi"/>
        </w:rPr>
        <w:t xml:space="preserve">Mission de l’Union Africaine pour la Centrafrique et l’Afrique Centrale </w:t>
      </w:r>
      <w:bookmarkEnd w:id="14"/>
      <w:r w:rsidRPr="00F333D6">
        <w:rPr>
          <w:rFonts w:cstheme="minorHAnsi"/>
        </w:rPr>
        <w:t>(MISAD)</w:t>
      </w:r>
    </w:p>
  </w:footnote>
  <w:footnote w:id="13">
    <w:p w14:paraId="3CA1D5E1" w14:textId="77777777" w:rsidR="00E02032" w:rsidRPr="002A38C7" w:rsidRDefault="00E02032" w:rsidP="00E02032">
      <w:pPr>
        <w:pStyle w:val="FootnoteText"/>
        <w:jc w:val="both"/>
      </w:pPr>
      <w:r w:rsidRPr="00F333D6">
        <w:rPr>
          <w:rStyle w:val="FootnoteReference"/>
        </w:rPr>
        <w:footnoteRef/>
      </w:r>
      <w:r w:rsidRPr="002A38C7">
        <w:t xml:space="preserve"> La stratégie nationale n’indique pas qui a dirigé</w:t>
      </w:r>
      <w:r>
        <w:t xml:space="preserve"> cette recherche. </w:t>
      </w:r>
      <w:r w:rsidRPr="002A38C7">
        <w:t xml:space="preserve"> </w:t>
      </w:r>
    </w:p>
  </w:footnote>
  <w:footnote w:id="14">
    <w:p w14:paraId="2796DCC6" w14:textId="77777777" w:rsidR="00E02032" w:rsidRDefault="00E02032" w:rsidP="00E02032">
      <w:pPr>
        <w:pStyle w:val="FootnoteText"/>
        <w:jc w:val="both"/>
      </w:pPr>
      <w:r>
        <w:rPr>
          <w:rStyle w:val="FootnoteReference"/>
        </w:rPr>
        <w:footnoteRef/>
      </w:r>
      <w:r w:rsidRPr="00C32506">
        <w:rPr>
          <w:lang w:val="fr-CD"/>
        </w:rPr>
        <w:t>L’</w:t>
      </w:r>
      <w:r w:rsidRPr="00BC732D">
        <w:rPr>
          <w:lang w:val="fr-CD"/>
        </w:rPr>
        <w:t>enquête par grappes à indicateurs multiples (MICS6-RCA) a été menée en 2018-2019 par</w:t>
      </w:r>
      <w:r w:rsidRPr="00C32506">
        <w:rPr>
          <w:lang w:val="fr-CD"/>
        </w:rPr>
        <w:t xml:space="preserve"> </w:t>
      </w:r>
      <w:r w:rsidRPr="00BC732D">
        <w:rPr>
          <w:lang w:val="fr-CD"/>
        </w:rPr>
        <w:t>l' Institut Centrafricain des Statistiques et des Études Économiques et Sociales (ICASEES) .</w:t>
      </w:r>
    </w:p>
  </w:footnote>
  <w:footnote w:id="15">
    <w:p w14:paraId="61A06F12" w14:textId="77777777" w:rsidR="00E02032" w:rsidRDefault="00E02032" w:rsidP="00E02032">
      <w:pPr>
        <w:pStyle w:val="FootnoteText"/>
        <w:jc w:val="both"/>
      </w:pPr>
      <w:r>
        <w:rPr>
          <w:rStyle w:val="FootnoteReference"/>
        </w:rPr>
        <w:footnoteRef/>
      </w:r>
      <w:r>
        <w:t xml:space="preserve"> </w:t>
      </w:r>
      <w:r w:rsidRPr="00BC732D">
        <w:rPr>
          <w:lang w:val="fr-CD"/>
        </w:rPr>
        <w:t>Rapport Statistique du 2ème trimestre sur 2020 (avril, mai et juin), GBVIMS-RCA. Les données</w:t>
      </w:r>
      <w:r w:rsidRPr="006B25B8">
        <w:rPr>
          <w:lang w:val="fr-CD"/>
        </w:rPr>
        <w:t xml:space="preserve"> sur les</w:t>
      </w:r>
      <w:r w:rsidRPr="00BC732D">
        <w:rPr>
          <w:lang w:val="fr-CD"/>
        </w:rPr>
        <w:t xml:space="preserve"> incidents </w:t>
      </w:r>
      <w:r w:rsidRPr="006B25B8">
        <w:rPr>
          <w:lang w:val="fr-CD"/>
        </w:rPr>
        <w:t>ont été collectées</w:t>
      </w:r>
      <w:r w:rsidRPr="00BC732D">
        <w:rPr>
          <w:lang w:val="fr-CD"/>
        </w:rPr>
        <w:t xml:space="preserve"> dans 33 des 73 sous</w:t>
      </w:r>
      <w:r w:rsidRPr="006B25B8">
        <w:rPr>
          <w:lang w:val="fr-CD"/>
        </w:rPr>
        <w:t>-</w:t>
      </w:r>
      <w:r w:rsidRPr="00BC732D">
        <w:rPr>
          <w:lang w:val="fr-CD"/>
        </w:rPr>
        <w:t xml:space="preserve">préfectures et les 8 arrondissements de Bangui dans le cadre </w:t>
      </w:r>
      <w:r w:rsidRPr="006B25B8">
        <w:rPr>
          <w:lang w:val="fr-CD"/>
        </w:rPr>
        <w:t>de la prestation de services aux survivant.es.</w:t>
      </w:r>
      <w:r>
        <w:rPr>
          <w:rFonts w:ascii="Avenir Light" w:eastAsia="Times New Roman" w:hAnsi="Avenir Light" w:cs="Times New Roman"/>
          <w:color w:val="000000"/>
          <w:sz w:val="18"/>
          <w:szCs w:val="18"/>
        </w:rPr>
        <w:t xml:space="preserve"> </w:t>
      </w:r>
    </w:p>
  </w:footnote>
  <w:footnote w:id="16">
    <w:p w14:paraId="62D1E8E4" w14:textId="77777777" w:rsidR="00E02032" w:rsidRDefault="00E02032" w:rsidP="00E02032">
      <w:pPr>
        <w:pStyle w:val="FootnoteText"/>
      </w:pPr>
      <w:r>
        <w:rPr>
          <w:rStyle w:val="FootnoteReference"/>
        </w:rPr>
        <w:footnoteRef/>
      </w:r>
      <w:r>
        <w:t xml:space="preserve"> E</w:t>
      </w:r>
      <w:r w:rsidRPr="00BC732D">
        <w:rPr>
          <w:lang w:val="fr-CD"/>
        </w:rPr>
        <w:t>nquête par grappes à indicateurs multiples (MICS6-RCA)</w:t>
      </w:r>
      <w:r>
        <w:rPr>
          <w:lang w:val="fr-CD"/>
        </w:rPr>
        <w:t>, 2018-2019.</w:t>
      </w:r>
    </w:p>
  </w:footnote>
  <w:footnote w:id="17">
    <w:p w14:paraId="29E06D7D" w14:textId="77777777" w:rsidR="00E02032" w:rsidRDefault="00E02032" w:rsidP="00E02032">
      <w:pPr>
        <w:pStyle w:val="FootnoteText"/>
      </w:pPr>
      <w:r>
        <w:rPr>
          <w:rStyle w:val="FootnoteReference"/>
        </w:rPr>
        <w:footnoteRef/>
      </w:r>
      <w:r>
        <w:t xml:space="preserve"> E</w:t>
      </w:r>
      <w:r w:rsidRPr="00BC732D">
        <w:rPr>
          <w:lang w:val="fr-CD"/>
        </w:rPr>
        <w:t>nquête par grappes à indicateurs multiples (MICS6-RCA)</w:t>
      </w:r>
      <w:r>
        <w:rPr>
          <w:lang w:val="fr-CD"/>
        </w:rPr>
        <w:t>, 2018-2019.</w:t>
      </w:r>
    </w:p>
    <w:p w14:paraId="21D51526" w14:textId="77777777" w:rsidR="00E02032" w:rsidRDefault="00E02032" w:rsidP="00E02032">
      <w:pPr>
        <w:pStyle w:val="FootnoteText"/>
      </w:pPr>
    </w:p>
  </w:footnote>
  <w:footnote w:id="18">
    <w:p w14:paraId="06992A40" w14:textId="77777777" w:rsidR="00E02032" w:rsidRPr="008A4069" w:rsidRDefault="00E02032" w:rsidP="00E02032">
      <w:pPr>
        <w:pStyle w:val="NormalWeb"/>
        <w:spacing w:before="0" w:beforeAutospacing="0" w:after="0" w:afterAutospacing="0"/>
        <w:jc w:val="both"/>
        <w:rPr>
          <w:rFonts w:ascii="Verdana" w:hAnsi="Verdana"/>
          <w:color w:val="000000"/>
          <w:sz w:val="27"/>
          <w:szCs w:val="27"/>
        </w:rPr>
      </w:pPr>
      <w:r>
        <w:rPr>
          <w:rStyle w:val="FootnoteReference"/>
        </w:rPr>
        <w:footnoteRef/>
      </w:r>
      <w:r>
        <w:t xml:space="preserve"> </w:t>
      </w:r>
      <w:r w:rsidRPr="008A4069">
        <w:rPr>
          <w:rFonts w:asciiTheme="minorHAnsi" w:eastAsiaTheme="minorHAnsi" w:hAnsiTheme="minorHAnsi" w:cstheme="minorBidi"/>
          <w:sz w:val="20"/>
          <w:szCs w:val="20"/>
          <w:lang w:val="fr-CD" w:eastAsia="en-US"/>
        </w:rPr>
        <w:t xml:space="preserve">Mutilations </w:t>
      </w:r>
      <w:r>
        <w:rPr>
          <w:rFonts w:asciiTheme="minorHAnsi" w:eastAsiaTheme="minorHAnsi" w:hAnsiTheme="minorHAnsi" w:cstheme="minorBidi"/>
          <w:sz w:val="20"/>
          <w:szCs w:val="20"/>
          <w:lang w:val="fr-CD" w:eastAsia="en-US"/>
        </w:rPr>
        <w:t>G</w:t>
      </w:r>
      <w:r w:rsidRPr="008A4069">
        <w:rPr>
          <w:rFonts w:asciiTheme="minorHAnsi" w:eastAsiaTheme="minorHAnsi" w:hAnsiTheme="minorHAnsi" w:cstheme="minorBidi"/>
          <w:sz w:val="20"/>
          <w:szCs w:val="20"/>
          <w:lang w:val="fr-CD" w:eastAsia="en-US"/>
        </w:rPr>
        <w:t xml:space="preserve">énitales </w:t>
      </w:r>
      <w:r>
        <w:rPr>
          <w:rFonts w:asciiTheme="minorHAnsi" w:eastAsiaTheme="minorHAnsi" w:hAnsiTheme="minorHAnsi" w:cstheme="minorBidi"/>
          <w:sz w:val="20"/>
          <w:szCs w:val="20"/>
          <w:lang w:val="fr-CD" w:eastAsia="en-US"/>
        </w:rPr>
        <w:t>F</w:t>
      </w:r>
      <w:r w:rsidRPr="008A4069">
        <w:rPr>
          <w:rFonts w:asciiTheme="minorHAnsi" w:eastAsiaTheme="minorHAnsi" w:hAnsiTheme="minorHAnsi" w:cstheme="minorBidi"/>
          <w:sz w:val="20"/>
          <w:szCs w:val="20"/>
          <w:lang w:val="fr-CD" w:eastAsia="en-US"/>
        </w:rPr>
        <w:t>éminines / excision (MGF) - une pratique traditionnelle néfaste «qui implique l'ablation partielle ou totale des organes génitaux féminins externes ou d'autres blessures aux organes génitaux féminins pour des raisons non médicales</w:t>
      </w:r>
      <w:bookmarkStart w:id="17" w:name="_ftnref16"/>
      <w:bookmarkEnd w:id="17"/>
      <w:r w:rsidRPr="008A4069">
        <w:rPr>
          <w:rFonts w:asciiTheme="minorHAnsi" w:eastAsiaTheme="minorHAnsi" w:hAnsiTheme="minorHAnsi" w:cstheme="minorBidi"/>
          <w:sz w:val="20"/>
          <w:szCs w:val="20"/>
          <w:lang w:val="fr-CD" w:eastAsia="en-US"/>
        </w:rPr>
        <w:t>.</w:t>
      </w:r>
    </w:p>
  </w:footnote>
  <w:footnote w:id="19">
    <w:p w14:paraId="3CF68BC1" w14:textId="77777777" w:rsidR="00E02032" w:rsidRDefault="00E02032" w:rsidP="00E02032">
      <w:pPr>
        <w:pStyle w:val="FootnoteText"/>
      </w:pPr>
      <w:r>
        <w:rPr>
          <w:rStyle w:val="FootnoteReference"/>
        </w:rPr>
        <w:footnoteRef/>
      </w:r>
      <w:r>
        <w:t xml:space="preserve"> E</w:t>
      </w:r>
      <w:r w:rsidRPr="00BC732D">
        <w:rPr>
          <w:lang w:val="fr-CD"/>
        </w:rPr>
        <w:t>nquête par grappes à indicateurs multiples (MICS6-RCA)</w:t>
      </w:r>
      <w:r>
        <w:rPr>
          <w:lang w:val="fr-CD"/>
        </w:rPr>
        <w:t>, 2018-2019.</w:t>
      </w:r>
    </w:p>
  </w:footnote>
  <w:footnote w:id="20">
    <w:p w14:paraId="595C2EEC" w14:textId="77777777" w:rsidR="00E02032" w:rsidRDefault="00E02032" w:rsidP="00E02032">
      <w:pPr>
        <w:pStyle w:val="FootnoteText"/>
      </w:pPr>
      <w:r>
        <w:rPr>
          <w:rStyle w:val="FootnoteReference"/>
        </w:rPr>
        <w:footnoteRef/>
      </w:r>
      <w:r>
        <w:t xml:space="preserve"> </w:t>
      </w:r>
      <w:r w:rsidRPr="00BC732D">
        <w:rPr>
          <w:lang w:val="fr-CD"/>
        </w:rPr>
        <w:t>Rapport Human Right Watch, Ils ont dit que nous sommes leurs esclaves, 2017.</w:t>
      </w:r>
    </w:p>
  </w:footnote>
  <w:footnote w:id="21">
    <w:p w14:paraId="4080FC56" w14:textId="77777777" w:rsidR="00E02032" w:rsidRDefault="00E02032" w:rsidP="00E02032">
      <w:pPr>
        <w:pStyle w:val="FootnoteText"/>
        <w:jc w:val="both"/>
      </w:pPr>
      <w:r>
        <w:rPr>
          <w:rStyle w:val="FootnoteReference"/>
        </w:rPr>
        <w:footnoteRef/>
      </w:r>
      <w:r>
        <w:t xml:space="preserve"> </w:t>
      </w:r>
      <w:r w:rsidRPr="00BC732D">
        <w:rPr>
          <w:lang w:val="fr-CD"/>
        </w:rPr>
        <w:t>Rapport d'enquête menée en 2014 par le ministère des Affaires sociales avec l'appui de la FNUAP sur les VBG en République Centrafricaine.</w:t>
      </w:r>
    </w:p>
  </w:footnote>
  <w:footnote w:id="22">
    <w:p w14:paraId="2F5D3899" w14:textId="77777777" w:rsidR="00E02032" w:rsidRPr="00B152BD" w:rsidRDefault="00E02032" w:rsidP="00E02032">
      <w:pPr>
        <w:jc w:val="both"/>
        <w:rPr>
          <w:rFonts w:ascii="Times New Roman" w:eastAsia="Times New Roman" w:hAnsi="Times New Roman" w:cs="Times New Roman"/>
          <w:sz w:val="24"/>
          <w:szCs w:val="24"/>
        </w:rPr>
      </w:pPr>
      <w:r>
        <w:rPr>
          <w:rStyle w:val="FootnoteReference"/>
        </w:rPr>
        <w:footnoteRef/>
      </w:r>
      <w:r>
        <w:t xml:space="preserve"> </w:t>
      </w:r>
      <w:r w:rsidRPr="00B152BD">
        <w:rPr>
          <w:sz w:val="20"/>
          <w:szCs w:val="20"/>
        </w:rPr>
        <w:t>République Centrafricaine</w:t>
      </w:r>
      <w:r>
        <w:rPr>
          <w:sz w:val="20"/>
          <w:szCs w:val="20"/>
        </w:rPr>
        <w:t xml:space="preserve">, </w:t>
      </w:r>
      <w:r w:rsidRPr="00B152BD">
        <w:rPr>
          <w:sz w:val="20"/>
          <w:szCs w:val="20"/>
        </w:rPr>
        <w:t>Les mouvements de Transhumance sur les couloirs de Bamingui- Bangoran , Nana- Gribizi et Kabo , OIM-FAO, mars 2020. Financé par PBSO, le rapport présente les perceptions des communautés vivant dans les zones traversées par la transhumance sur le processus d</w:t>
      </w:r>
      <w:r>
        <w:rPr>
          <w:sz w:val="20"/>
          <w:szCs w:val="20"/>
        </w:rPr>
        <w:t>’</w:t>
      </w:r>
      <w:r w:rsidRPr="00B152BD">
        <w:rPr>
          <w:sz w:val="20"/>
          <w:szCs w:val="20"/>
        </w:rPr>
        <w:t>identifier et promouvoir des stratégies de dialogue et de coexistence pacifique entre différentes communautés, et ainsi contribuer à la réduction des conflits liés à la transhumance sur les axes visés par ce projet.</w:t>
      </w:r>
    </w:p>
  </w:footnote>
  <w:footnote w:id="23">
    <w:p w14:paraId="265118C1" w14:textId="77777777" w:rsidR="00E02032" w:rsidRDefault="00E02032" w:rsidP="00E02032">
      <w:pPr>
        <w:pStyle w:val="FootnoteText"/>
        <w:jc w:val="both"/>
      </w:pPr>
      <w:r>
        <w:rPr>
          <w:rStyle w:val="FootnoteReference"/>
        </w:rPr>
        <w:footnoteRef/>
      </w:r>
      <w:r>
        <w:t xml:space="preserve"> Cette section est extraite (et traduite en français) de l’analyse VBG susmentionnée conduite en 2018 par Monika Bakayoko-Topolska. </w:t>
      </w:r>
    </w:p>
  </w:footnote>
  <w:footnote w:id="24">
    <w:p w14:paraId="102F6F6B" w14:textId="77777777" w:rsidR="00E02032" w:rsidRPr="00AB1CF4" w:rsidRDefault="00E02032" w:rsidP="00E02032">
      <w:pPr>
        <w:jc w:val="both"/>
        <w:rPr>
          <w:rFonts w:cstheme="minorHAnsi"/>
        </w:rPr>
      </w:pPr>
      <w:r>
        <w:rPr>
          <w:rStyle w:val="FootnoteReference"/>
        </w:rPr>
        <w:footnoteRef/>
      </w:r>
      <w:r>
        <w:t xml:space="preserve"> </w:t>
      </w:r>
      <w:r w:rsidRPr="00B152BD">
        <w:rPr>
          <w:sz w:val="20"/>
          <w:szCs w:val="20"/>
        </w:rPr>
        <w:t>Les abus ont été rapportés par une dizaine d'enfants et auraient eu lieu dans un centre pour personnes déplacées près de l'aéroport de la capitale Bangui entre décembre 2013 et juin 2014. Un an plus tard, en avril 2016, 150 allégations d'abus sexuels ont été formulées contre des soldats de la paix de l'ONU déployés à Dekoa.</w:t>
      </w:r>
      <w:r w:rsidRPr="00AB1CF4">
        <w:rPr>
          <w:rFonts w:cstheme="minorHAnsi"/>
        </w:rPr>
        <w:t xml:space="preserve"> </w:t>
      </w:r>
    </w:p>
    <w:p w14:paraId="06D22468" w14:textId="77777777" w:rsidR="00E02032" w:rsidRDefault="00E02032" w:rsidP="00E02032">
      <w:pPr>
        <w:pStyle w:val="FootnoteText"/>
      </w:pPr>
    </w:p>
  </w:footnote>
  <w:footnote w:id="25">
    <w:p w14:paraId="46CB56AA" w14:textId="77777777" w:rsidR="00E02032" w:rsidRDefault="00E02032" w:rsidP="00E02032">
      <w:pPr>
        <w:pStyle w:val="FootnoteText"/>
        <w:jc w:val="both"/>
      </w:pPr>
      <w:r>
        <w:rPr>
          <w:rStyle w:val="FootnoteReference"/>
        </w:rPr>
        <w:footnoteRef/>
      </w:r>
      <w:r>
        <w:t xml:space="preserve"> Banque mondiale, Note de Bonnes Pratiques, seconde édition, février 2020. </w:t>
      </w:r>
      <w:r w:rsidRPr="00372929">
        <w:rPr>
          <w:rFonts w:cstheme="minorHAnsi"/>
          <w:iCs/>
        </w:rPr>
        <w:t>Lutter contre les violences sexistes dans le cadre du financement de projets d’investissement comportant de grands travaux de génie civil.</w:t>
      </w:r>
      <w:r>
        <w:rPr>
          <w:rFonts w:cstheme="minorHAnsi"/>
          <w:i/>
        </w:rPr>
        <w:t xml:space="preserve"> </w:t>
      </w:r>
    </w:p>
  </w:footnote>
  <w:footnote w:id="26">
    <w:p w14:paraId="01C88A08" w14:textId="77777777" w:rsidR="00E02032" w:rsidRDefault="00E02032" w:rsidP="00E02032">
      <w:pPr>
        <w:pStyle w:val="FootnoteText"/>
      </w:pPr>
      <w:r>
        <w:rPr>
          <w:rStyle w:val="FootnoteReference"/>
        </w:rPr>
        <w:footnoteRef/>
      </w:r>
      <w:r>
        <w:t xml:space="preserve"> P164953 – Projet d’appui et de Renforcement du système de santé (SENI), Ministère de la Santé et Ministère de la Promotion de la Femme, de la Famille et de la Protection de l’Enfant.</w:t>
      </w:r>
    </w:p>
  </w:footnote>
  <w:footnote w:id="27">
    <w:p w14:paraId="05641952" w14:textId="77777777" w:rsidR="00E02032" w:rsidRPr="00422D4F" w:rsidRDefault="00E02032" w:rsidP="00E02032">
      <w:pPr>
        <w:pStyle w:val="FootnoteText"/>
        <w:rPr>
          <w:lang w:val="en-US"/>
        </w:rPr>
      </w:pPr>
      <w:r>
        <w:rPr>
          <w:rStyle w:val="FootnoteReference"/>
        </w:rPr>
        <w:footnoteRef/>
      </w:r>
      <w:r w:rsidRPr="00422D4F">
        <w:rPr>
          <w:lang w:val="en-US"/>
        </w:rPr>
        <w:t xml:space="preserve"> P164953 – PAD </w:t>
      </w:r>
      <w:r>
        <w:rPr>
          <w:lang w:val="en-US"/>
        </w:rPr>
        <w:t xml:space="preserve">- </w:t>
      </w:r>
      <w:r w:rsidRPr="00422D4F">
        <w:rPr>
          <w:lang w:val="en-US"/>
        </w:rPr>
        <w:t>Health System Strengthenin</w:t>
      </w:r>
      <w:r>
        <w:rPr>
          <w:lang w:val="en-US"/>
        </w:rPr>
        <w:t>g Project (SENI), CAR, 2018. p: 23.</w:t>
      </w:r>
    </w:p>
  </w:footnote>
  <w:footnote w:id="28">
    <w:p w14:paraId="6C2C0C0C" w14:textId="77777777" w:rsidR="00E02032" w:rsidRDefault="00E02032" w:rsidP="00E02032">
      <w:pPr>
        <w:pStyle w:val="FootnoteText"/>
      </w:pPr>
      <w:r>
        <w:rPr>
          <w:rStyle w:val="FootnoteReference"/>
        </w:rPr>
        <w:footnoteRef/>
      </w:r>
      <w:r>
        <w:t xml:space="preserve"> P173103 - Projet d’appui au Plan Sectoriel de l’Éducation (PAPSE II), Ministère de l’Enseignement Primaire et Secondaire. </w:t>
      </w:r>
    </w:p>
  </w:footnote>
  <w:footnote w:id="29">
    <w:p w14:paraId="70D70E1A" w14:textId="77777777" w:rsidR="00E02032" w:rsidRPr="00E02032" w:rsidRDefault="00E02032" w:rsidP="00E02032">
      <w:pPr>
        <w:pStyle w:val="FootnoteText"/>
        <w:rPr>
          <w:lang w:val="en-US"/>
        </w:rPr>
      </w:pPr>
      <w:r>
        <w:rPr>
          <w:rStyle w:val="FootnoteReference"/>
        </w:rPr>
        <w:footnoteRef/>
      </w:r>
      <w:r w:rsidRPr="00E02032">
        <w:rPr>
          <w:lang w:val="en-US"/>
        </w:rPr>
        <w:t xml:space="preserve"> P171158 – Projet Capital Humain (Maïngo), PAD </w:t>
      </w:r>
      <w:r w:rsidRPr="00E02032">
        <w:rPr>
          <w:i/>
          <w:iCs/>
          <w:lang w:val="en-US"/>
        </w:rPr>
        <w:t>draft</w:t>
      </w:r>
      <w:r w:rsidRPr="00E02032">
        <w:rPr>
          <w:lang w:val="en-US"/>
        </w:rPr>
        <w:t xml:space="preserve"> p: 12.</w:t>
      </w:r>
    </w:p>
  </w:footnote>
  <w:footnote w:id="30">
    <w:p w14:paraId="0544DFC7" w14:textId="77777777" w:rsidR="00E02032" w:rsidRPr="00784B5B" w:rsidRDefault="00E02032" w:rsidP="00E02032">
      <w:pPr>
        <w:pStyle w:val="FootnoteText"/>
        <w:rPr>
          <w:lang w:val="en-US"/>
        </w:rPr>
      </w:pPr>
      <w:r>
        <w:rPr>
          <w:rStyle w:val="FootnoteReference"/>
        </w:rPr>
        <w:footnoteRef/>
      </w:r>
      <w:r w:rsidRPr="00784B5B">
        <w:rPr>
          <w:lang w:val="en-US"/>
        </w:rPr>
        <w:t xml:space="preserve"> </w:t>
      </w:r>
      <w:r>
        <w:rPr>
          <w:lang w:val="en-US"/>
        </w:rPr>
        <w:t>P171158 – Projet Capital Humain (</w:t>
      </w:r>
      <w:r w:rsidRPr="00E02032">
        <w:rPr>
          <w:lang w:val="en-US"/>
        </w:rPr>
        <w:t xml:space="preserve">Maïngo), PAD </w:t>
      </w:r>
      <w:r w:rsidRPr="00E02032">
        <w:rPr>
          <w:i/>
          <w:iCs/>
          <w:lang w:val="en-US"/>
        </w:rPr>
        <w:t>draft</w:t>
      </w:r>
      <w:r w:rsidRPr="00E02032">
        <w:rPr>
          <w:lang w:val="en-US"/>
        </w:rPr>
        <w:t xml:space="preserve"> p: 12.</w:t>
      </w:r>
    </w:p>
  </w:footnote>
  <w:footnote w:id="31">
    <w:p w14:paraId="3E499129" w14:textId="77777777" w:rsidR="00E02032" w:rsidRPr="00784B5B" w:rsidRDefault="00E02032" w:rsidP="00E02032">
      <w:pPr>
        <w:pStyle w:val="FootnoteText"/>
        <w:jc w:val="both"/>
        <w:rPr>
          <w:lang w:val="en-US"/>
        </w:rPr>
      </w:pPr>
      <w:r>
        <w:rPr>
          <w:rStyle w:val="FootnoteReference"/>
        </w:rPr>
        <w:footnoteRef/>
      </w:r>
      <w:r w:rsidRPr="00784B5B">
        <w:rPr>
          <w:lang w:val="en-US"/>
        </w:rPr>
        <w:t xml:space="preserve"> </w:t>
      </w:r>
      <w:r>
        <w:rPr>
          <w:lang w:val="en-US"/>
        </w:rPr>
        <w:t xml:space="preserve">UNFPA, Women and Girls Safe Spaces, A guidance Note based on lessons learned from the Syrian crisis. Voir : UNICEF, Innovative approaches to GBV services provision in emergencies et IRC/IMC, A toolkit for advancing women’s and girls’ empowerment in humanitarian settings. </w:t>
      </w:r>
    </w:p>
  </w:footnote>
  <w:footnote w:id="32">
    <w:p w14:paraId="2752B0C1" w14:textId="77777777" w:rsidR="00E02032" w:rsidRPr="00E575A0" w:rsidRDefault="00E02032" w:rsidP="00E02032">
      <w:pPr>
        <w:pStyle w:val="FootnoteText"/>
      </w:pPr>
      <w:r>
        <w:rPr>
          <w:rStyle w:val="FootnoteReference"/>
        </w:rPr>
        <w:footnoteRef/>
      </w:r>
      <w:r w:rsidRPr="00E575A0">
        <w:t xml:space="preserve"> Voir Banque Mondiale, 2018, Analyse des VBG en RCA et évaluation des risques des projets PURACEL et SENI</w:t>
      </w:r>
      <w:r>
        <w:t xml:space="preserve"> réalisée par Monika Bakayoko-Topolska.</w:t>
      </w:r>
      <w:r w:rsidRPr="00E575A0">
        <w:t xml:space="preserve"> </w:t>
      </w:r>
    </w:p>
  </w:footnote>
  <w:footnote w:id="33">
    <w:p w14:paraId="2A53B44E" w14:textId="77777777" w:rsidR="00E02032" w:rsidRPr="009B14C6" w:rsidRDefault="00E02032" w:rsidP="00E02032">
      <w:pPr>
        <w:pStyle w:val="FootnoteText"/>
        <w:rPr>
          <w:lang w:val="en-US"/>
        </w:rPr>
      </w:pPr>
      <w:r>
        <w:rPr>
          <w:rStyle w:val="FootnoteReference"/>
        </w:rPr>
        <w:footnoteRef/>
      </w:r>
      <w:r w:rsidRPr="009B14C6">
        <w:rPr>
          <w:lang w:val="en-US"/>
        </w:rPr>
        <w:t xml:space="preserve"> </w:t>
      </w:r>
      <w:r>
        <w:rPr>
          <w:lang w:val="en-US"/>
        </w:rPr>
        <w:t xml:space="preserve">ICRC, (2020) </w:t>
      </w:r>
      <w:hyperlink r:id="rId2" w:history="1">
        <w:r w:rsidRPr="009B14C6">
          <w:rPr>
            <w:rStyle w:val="Hyperlink"/>
            <w:lang w:val="en-US"/>
          </w:rPr>
          <w:t>Central African Republic : Contending with covid-19 in the midst of a serious humanitarian crisis</w:t>
        </w:r>
      </w:hyperlink>
      <w:r>
        <w:rPr>
          <w:lang w:val="en-US"/>
        </w:rPr>
        <w:t xml:space="preserve">. </w:t>
      </w:r>
    </w:p>
  </w:footnote>
  <w:footnote w:id="34">
    <w:p w14:paraId="6838E628" w14:textId="77777777" w:rsidR="00E02032" w:rsidRPr="009B14C6" w:rsidRDefault="00E02032" w:rsidP="00E02032">
      <w:pPr>
        <w:pStyle w:val="FootnoteText"/>
        <w:rPr>
          <w:lang w:val="en-US"/>
        </w:rPr>
      </w:pPr>
      <w:r w:rsidRPr="009B14C6">
        <w:rPr>
          <w:vertAlign w:val="superscript"/>
        </w:rPr>
        <w:footnoteRef/>
      </w:r>
      <w:r w:rsidRPr="009B14C6">
        <w:rPr>
          <w:vertAlign w:val="superscript"/>
          <w:lang w:val="en-US"/>
        </w:rPr>
        <w:t xml:space="preserve"> </w:t>
      </w:r>
      <w:r w:rsidRPr="009B14C6">
        <w:rPr>
          <w:lang w:val="en-US"/>
        </w:rPr>
        <w:t>UNWOMEN</w:t>
      </w:r>
      <w:r>
        <w:rPr>
          <w:lang w:val="en-US"/>
        </w:rPr>
        <w:t xml:space="preserve"> (2020)</w:t>
      </w:r>
      <w:r w:rsidRPr="009B14C6">
        <w:rPr>
          <w:lang w:val="en-US"/>
        </w:rPr>
        <w:t xml:space="preserve"> </w:t>
      </w:r>
      <w:hyperlink r:id="rId3" w:history="1">
        <w:r w:rsidRPr="009B14C6">
          <w:rPr>
            <w:lang w:val="en-US"/>
          </w:rPr>
          <w:t>Violence against women and girls: the shadow pandemic</w:t>
        </w:r>
      </w:hyperlink>
    </w:p>
  </w:footnote>
  <w:footnote w:id="35">
    <w:p w14:paraId="69E273DB" w14:textId="77777777" w:rsidR="00E02032" w:rsidRPr="009B14C6" w:rsidRDefault="00E02032" w:rsidP="00E02032">
      <w:pPr>
        <w:pStyle w:val="FootnoteText"/>
        <w:rPr>
          <w:lang w:val="en-US"/>
        </w:rPr>
      </w:pPr>
      <w:r w:rsidRPr="009B14C6">
        <w:rPr>
          <w:vertAlign w:val="superscript"/>
        </w:rPr>
        <w:footnoteRef/>
      </w:r>
      <w:r w:rsidRPr="009B14C6">
        <w:rPr>
          <w:vertAlign w:val="superscript"/>
          <w:lang w:val="en-US"/>
        </w:rPr>
        <w:t xml:space="preserve"> </w:t>
      </w:r>
      <w:r w:rsidRPr="009B14C6">
        <w:rPr>
          <w:lang w:val="en-US"/>
        </w:rPr>
        <w:t>VAWG Helpdesk research Report n. 284 (2020)</w:t>
      </w:r>
      <w:hyperlink r:id="rId4" w:history="1">
        <w:r w:rsidRPr="009B14C6">
          <w:rPr>
            <w:lang w:val="en-US"/>
          </w:rPr>
          <w:t>Impact of COVID-19 Pandemic on Violence against Women and Girls.</w:t>
        </w:r>
      </w:hyperlink>
      <w:r w:rsidRPr="009B14C6">
        <w:rPr>
          <w:lang w:val="en-US"/>
        </w:rPr>
        <w:t xml:space="preserve"> </w:t>
      </w:r>
    </w:p>
    <w:p w14:paraId="2F8384E8" w14:textId="77777777" w:rsidR="00E02032" w:rsidRPr="009B14C6" w:rsidRDefault="00E02032" w:rsidP="00E02032">
      <w:pPr>
        <w:pStyle w:val="FootnoteText"/>
        <w:rPr>
          <w:lang w:val="en-US"/>
        </w:rPr>
      </w:pPr>
    </w:p>
  </w:footnote>
  <w:footnote w:id="36">
    <w:p w14:paraId="638E84C8" w14:textId="77777777" w:rsidR="00E02032" w:rsidRPr="00FB6C06" w:rsidRDefault="00E02032" w:rsidP="00E02032">
      <w:pPr>
        <w:pStyle w:val="FootnoteText"/>
      </w:pPr>
      <w:r>
        <w:rPr>
          <w:rStyle w:val="FootnoteReference"/>
        </w:rPr>
        <w:footnoteRef/>
      </w:r>
      <w:r w:rsidRPr="00FB6C06">
        <w:t xml:space="preserve"> Évaluation d</w:t>
      </w:r>
      <w:r>
        <w:t>e</w:t>
      </w:r>
      <w:r w:rsidRPr="00FB6C06">
        <w:t>s risques d’exploitation et atteintes sexuelles/harcèlement sexuels en milieu scolaire en République Centrafricaine (Ministère de l’enseignement primaire et secondaire – Projet d’appui au plan sectori</w:t>
      </w:r>
      <w:r>
        <w:t>e</w:t>
      </w:r>
      <w:r w:rsidRPr="00FB6C06">
        <w:t xml:space="preserve">l de l’éducation PAPSE II), novembre 2020. </w:t>
      </w:r>
    </w:p>
  </w:footnote>
  <w:footnote w:id="37">
    <w:p w14:paraId="6D88D7F3" w14:textId="77777777" w:rsidR="00E02032" w:rsidRDefault="00E02032" w:rsidP="00E02032">
      <w:pPr>
        <w:pStyle w:val="FootnoteText"/>
      </w:pPr>
      <w:r>
        <w:rPr>
          <w:rStyle w:val="FootnoteReference"/>
        </w:rPr>
        <w:footnoteRef/>
      </w:r>
      <w:r>
        <w:t xml:space="preserve"> Rapport d’enquête menée en 2014 par le Ministère des Affaires Sociales avec l’appui de FNUAP sur les VBG en République Centrafricaine.</w:t>
      </w:r>
    </w:p>
  </w:footnote>
  <w:footnote w:id="38">
    <w:p w14:paraId="35D189AD" w14:textId="77777777" w:rsidR="00E02032" w:rsidRDefault="00E02032" w:rsidP="00E02032">
      <w:pPr>
        <w:pStyle w:val="FootnoteText"/>
      </w:pPr>
      <w:r>
        <w:rPr>
          <w:rStyle w:val="FootnoteReference"/>
        </w:rPr>
        <w:footnoteRef/>
      </w:r>
      <w:r>
        <w:t xml:space="preserve"> Rapport d’enquête menée en 2014 par le Ministère des Affaires Sociales avec l’appui de FNUAP sur les VBG en République Centrafricaine, opus.cit.</w:t>
      </w:r>
    </w:p>
  </w:footnote>
  <w:footnote w:id="39">
    <w:p w14:paraId="429B8A30" w14:textId="77777777" w:rsidR="00E02032" w:rsidRPr="009B5A73" w:rsidRDefault="00E02032" w:rsidP="00E02032">
      <w:pPr>
        <w:pStyle w:val="FootnoteText"/>
      </w:pPr>
      <w:r>
        <w:rPr>
          <w:rStyle w:val="FootnoteReference"/>
        </w:rPr>
        <w:footnoteRef/>
      </w:r>
      <w:r w:rsidRPr="009B5A73">
        <w:t xml:space="preserve"> Voir Annexe : Violences Sexuelles en milieu scolaire. </w:t>
      </w:r>
    </w:p>
  </w:footnote>
  <w:footnote w:id="40">
    <w:p w14:paraId="64113332" w14:textId="77777777" w:rsidR="00E02032" w:rsidRDefault="00E02032" w:rsidP="00E02032">
      <w:pPr>
        <w:pStyle w:val="FootnoteText"/>
      </w:pPr>
      <w:r>
        <w:rPr>
          <w:rStyle w:val="FootnoteReference"/>
        </w:rPr>
        <w:footnoteRef/>
      </w:r>
      <w:r>
        <w:t xml:space="preserve"> P171158 – Projet Capital Humain (Maïngo), PAD </w:t>
      </w:r>
      <w:r w:rsidRPr="0012024E">
        <w:rPr>
          <w:i/>
          <w:iCs/>
        </w:rPr>
        <w:t>draft,</w:t>
      </w:r>
      <w:r>
        <w:t xml:space="preserve"> p :42.</w:t>
      </w:r>
    </w:p>
  </w:footnote>
  <w:footnote w:id="41">
    <w:p w14:paraId="02E5E441" w14:textId="77777777" w:rsidR="00E02032" w:rsidRDefault="00E02032" w:rsidP="00E02032">
      <w:pPr>
        <w:pStyle w:val="FootnoteText"/>
        <w:jc w:val="both"/>
      </w:pPr>
      <w:r>
        <w:rPr>
          <w:rStyle w:val="FootnoteReference"/>
        </w:rPr>
        <w:footnoteRef/>
      </w:r>
      <w:r>
        <w:t xml:space="preserve"> Voir aussi Cadre Gestion Environnementale et Sociale – Projet PAPSE, Section 3.2 Risques et impacts environnementaux et sociaux génériques négatifs globaux, p :56. </w:t>
      </w:r>
    </w:p>
  </w:footnote>
  <w:footnote w:id="42">
    <w:p w14:paraId="487231FB" w14:textId="77777777" w:rsidR="00E02032" w:rsidRPr="00847B29" w:rsidRDefault="00E02032" w:rsidP="00E02032">
      <w:pPr>
        <w:pStyle w:val="FootnoteText"/>
        <w:rPr>
          <w:lang w:val="en-US"/>
        </w:rPr>
      </w:pPr>
      <w:r>
        <w:rPr>
          <w:rStyle w:val="FootnoteReference"/>
        </w:rPr>
        <w:footnoteRef/>
      </w:r>
      <w:r w:rsidRPr="00847B29">
        <w:rPr>
          <w:lang w:val="en-US"/>
        </w:rPr>
        <w:t xml:space="preserve"> </w:t>
      </w:r>
      <w:r w:rsidRPr="001E45D5">
        <w:rPr>
          <w:rFonts w:asciiTheme="majorHAnsi" w:hAnsiTheme="majorHAnsi" w:cstheme="majorHAnsi"/>
          <w:lang w:val="en-US"/>
        </w:rPr>
        <w:t>Good practice Note on Addressing Sexual Exploitation and Abuse and Sexual Harassment (SEA/SH) in Investment Project Financing involving Major Civil Works” (second edition – February 2020) p:19</w:t>
      </w:r>
    </w:p>
  </w:footnote>
  <w:footnote w:id="43">
    <w:p w14:paraId="5FF45602" w14:textId="77777777" w:rsidR="00E02032" w:rsidRPr="00A403C5" w:rsidRDefault="00E02032" w:rsidP="00E02032">
      <w:pPr>
        <w:pStyle w:val="FootnoteText"/>
      </w:pPr>
      <w:r>
        <w:rPr>
          <w:rStyle w:val="FootnoteReference"/>
        </w:rPr>
        <w:footnoteRef/>
      </w:r>
      <w:r>
        <w:t xml:space="preserve"> Les définitions sont dans leur vaste majorité tirées de la Note de bonnes pratiques, Cadre environnemental et social pour les opérations de FPI. Lutte contre l’exploitation et les atteintes sexuelles ainsi que le harcèlement sexuel dans le cadre du financement de projets d’investissement comportant de grands travaux de génie civil. Deuxième édition, Banque Mondiale. </w:t>
      </w:r>
    </w:p>
  </w:footnote>
  <w:footnote w:id="44">
    <w:p w14:paraId="3B9463D1" w14:textId="77777777" w:rsidR="00E02032" w:rsidRPr="00200D26" w:rsidRDefault="00E02032" w:rsidP="00E02032">
      <w:pPr>
        <w:pStyle w:val="FootnoteText"/>
        <w:rPr>
          <w:lang w:val="en-US"/>
        </w:rPr>
      </w:pPr>
      <w:r w:rsidRPr="00D53085">
        <w:rPr>
          <w:rStyle w:val="FootnoteReference"/>
          <w:rFonts w:cstheme="minorHAnsi"/>
        </w:rPr>
        <w:footnoteRef/>
      </w:r>
      <w:r w:rsidRPr="00D53085">
        <w:rPr>
          <w:rFonts w:cstheme="minorHAnsi"/>
        </w:rPr>
        <w:t xml:space="preserve"> L’expression « violence sexiste » est souvent utilisée de façon interchangeable avec celle de « violence à l’égard des femmes et des filles ». Voir </w:t>
      </w:r>
      <w:r w:rsidRPr="00200D26">
        <w:rPr>
          <w:rFonts w:cstheme="minorHAnsi"/>
        </w:rPr>
        <w:t xml:space="preserve">Arango, D., M. Morton, Gennari, F., Kiplesund, S. et ELLSBERG, M. (2014). </w:t>
      </w:r>
      <w:r w:rsidRPr="00200D26">
        <w:rPr>
          <w:rFonts w:cstheme="minorHAnsi"/>
          <w:lang w:val="en-US"/>
        </w:rPr>
        <w:t>Interventions to Prevent or Reduce Violence Against Women And Girls : A systematic Review of Reviews. Women’s Voice, Agency, and Participation Research Series. Washington, DC. World Bank.</w:t>
      </w:r>
    </w:p>
  </w:footnote>
  <w:footnote w:id="45">
    <w:p w14:paraId="46C621A4" w14:textId="77777777" w:rsidR="00E02032" w:rsidRPr="00A403C5" w:rsidRDefault="00E02032" w:rsidP="00E02032">
      <w:pPr>
        <w:pStyle w:val="FootnoteText"/>
      </w:pPr>
      <w:r>
        <w:rPr>
          <w:rStyle w:val="FootnoteReference"/>
        </w:rPr>
        <w:footnoteRef/>
      </w:r>
      <w:r>
        <w:t xml:space="preserve"> Note de bonnes pratiques, Cadre environnemental et social pour les opérations de FPI, opus.cit. page 6. </w:t>
      </w:r>
    </w:p>
  </w:footnote>
  <w:footnote w:id="46">
    <w:p w14:paraId="3A056CD1" w14:textId="77777777" w:rsidR="00E02032" w:rsidRDefault="00E02032" w:rsidP="00E02032">
      <w:pPr>
        <w:pStyle w:val="FootnoteText"/>
      </w:pPr>
      <w:r>
        <w:rPr>
          <w:rStyle w:val="FootnoteReference"/>
        </w:rPr>
        <w:footnoteRef/>
      </w:r>
      <w:r>
        <w:t xml:space="preserve"> Note de bonnes pratiques, opus cit. Glossaire. </w:t>
      </w:r>
    </w:p>
  </w:footnote>
  <w:footnote w:id="47">
    <w:p w14:paraId="7D2C5867" w14:textId="77777777" w:rsidR="00E02032" w:rsidRPr="00D53085" w:rsidRDefault="00E02032" w:rsidP="00E02032">
      <w:pPr>
        <w:pStyle w:val="FootnoteText"/>
      </w:pPr>
      <w:r>
        <w:rPr>
          <w:rStyle w:val="FootnoteReference"/>
        </w:rPr>
        <w:footnoteRef/>
      </w:r>
      <w:r w:rsidRPr="00D53085">
        <w:t xml:space="preserve"> </w:t>
      </w:r>
      <w:r w:rsidRPr="00200D26">
        <w:t>GBVIMS, Outils de classification. Les six principaux types de VBG ont été créés pour permettre la collecte de données et l’analyse de statistiques</w:t>
      </w:r>
      <w:r>
        <w:t xml:space="preserve"> sur la VBG. </w:t>
      </w:r>
    </w:p>
  </w:footnote>
  <w:footnote w:id="48">
    <w:p w14:paraId="29485663" w14:textId="77777777" w:rsidR="00E02032" w:rsidRDefault="00E02032" w:rsidP="00E02032">
      <w:pPr>
        <w:pStyle w:val="FootnoteText"/>
      </w:pPr>
      <w:r>
        <w:rPr>
          <w:rStyle w:val="FootnoteReference"/>
        </w:rPr>
        <w:footnoteRef/>
      </w:r>
      <w:r>
        <w:t xml:space="preserve"> Note de bonnes pratiques, opus cit. Glossaire</w:t>
      </w:r>
    </w:p>
  </w:footnote>
  <w:footnote w:id="49">
    <w:p w14:paraId="5726EE41" w14:textId="77777777" w:rsidR="00E02032" w:rsidRDefault="00E02032" w:rsidP="00E02032">
      <w:pPr>
        <w:pStyle w:val="FootnoteText"/>
      </w:pPr>
      <w:r>
        <w:rPr>
          <w:rStyle w:val="FootnoteReference"/>
        </w:rPr>
        <w:footnoteRef/>
      </w:r>
      <w:r>
        <w:t xml:space="preserve"> Note de bonnes pratiques, opus cit. Glossaire</w:t>
      </w:r>
    </w:p>
  </w:footnote>
  <w:footnote w:id="50">
    <w:p w14:paraId="0B8F08BC" w14:textId="77777777" w:rsidR="00E02032" w:rsidRDefault="00E02032" w:rsidP="00E02032">
      <w:pPr>
        <w:pStyle w:val="FootnoteText"/>
      </w:pPr>
      <w:r>
        <w:rPr>
          <w:rStyle w:val="FootnoteReference"/>
        </w:rPr>
        <w:footnoteRef/>
      </w:r>
      <w:r>
        <w:t xml:space="preserve"> Note de bonnes pratiques, opus cit. Glossaire.</w:t>
      </w:r>
    </w:p>
  </w:footnote>
  <w:footnote w:id="51">
    <w:p w14:paraId="094ED4F7" w14:textId="77777777" w:rsidR="00E02032" w:rsidRDefault="00E02032" w:rsidP="00E02032">
      <w:pPr>
        <w:pStyle w:val="FootnoteText"/>
      </w:pPr>
      <w:r>
        <w:rPr>
          <w:rStyle w:val="FootnoteReference"/>
        </w:rPr>
        <w:footnoteRef/>
      </w:r>
      <w:r>
        <w:t xml:space="preserve"> </w:t>
      </w:r>
      <w:r w:rsidRPr="00FB6C06">
        <w:t>Évaluation d</w:t>
      </w:r>
      <w:r>
        <w:t>e</w:t>
      </w:r>
      <w:r w:rsidRPr="00FB6C06">
        <w:t>s risques d’exploitation et atteintes sexuelles/harcèlement sexuels en milieu scolaire en République Centrafricaine (Ministère de l’enseignement primaire et secondaire – Projet d’appui au plan sectori</w:t>
      </w:r>
      <w:r>
        <w:t>e</w:t>
      </w:r>
      <w:r w:rsidRPr="00FB6C06">
        <w:t>l de l’éducation PAPSE II), novembre 2020.</w:t>
      </w:r>
    </w:p>
  </w:footnote>
  <w:footnote w:id="52">
    <w:p w14:paraId="1F1FD0ED" w14:textId="77777777" w:rsidR="007F1D7D" w:rsidRPr="0058360A" w:rsidRDefault="007F1D7D" w:rsidP="007F1D7D">
      <w:pPr>
        <w:pStyle w:val="FootnoteText"/>
        <w:rPr>
          <w:rFonts w:ascii="Calibri" w:hAnsi="Calibri" w:cs="Calibri"/>
        </w:rPr>
      </w:pPr>
      <w:r w:rsidRPr="0058360A">
        <w:rPr>
          <w:rStyle w:val="FootnoteReference"/>
          <w:rFonts w:ascii="Calibri" w:hAnsi="Calibri" w:cs="Calibri"/>
        </w:rPr>
        <w:footnoteRef/>
      </w:r>
      <w:r w:rsidRPr="0058360A">
        <w:rPr>
          <w:rFonts w:ascii="Calibri" w:hAnsi="Calibri" w:cs="Calibri"/>
        </w:rPr>
        <w:t xml:space="preserve"> Cet indicateur est utile pour le suivi de nombre des plaintes </w:t>
      </w:r>
      <w:r>
        <w:rPr>
          <w:rFonts w:ascii="Calibri" w:hAnsi="Calibri" w:cs="Calibri"/>
        </w:rPr>
        <w:t>reçue</w:t>
      </w:r>
      <w:r w:rsidRPr="0058360A">
        <w:rPr>
          <w:rFonts w:ascii="Calibri" w:hAnsi="Calibri" w:cs="Calibri"/>
        </w:rPr>
        <w:t>s, mais il n’est pas indicatif de la bonne ou mauvaise fonctionnalité du MGP.</w:t>
      </w:r>
    </w:p>
  </w:footnote>
  <w:footnote w:id="53">
    <w:p w14:paraId="79880FAA" w14:textId="77777777" w:rsidR="00DF050A" w:rsidRPr="0058360A" w:rsidRDefault="00DF050A" w:rsidP="00DF050A">
      <w:pPr>
        <w:pStyle w:val="FootnoteText"/>
        <w:rPr>
          <w:rFonts w:ascii="Calibri" w:hAnsi="Calibri" w:cs="Calibri"/>
        </w:rPr>
      </w:pPr>
      <w:r w:rsidRPr="0058360A">
        <w:rPr>
          <w:rStyle w:val="FootnoteReference"/>
          <w:rFonts w:ascii="Calibri" w:hAnsi="Calibri" w:cs="Calibri"/>
        </w:rPr>
        <w:footnoteRef/>
      </w:r>
      <w:r w:rsidRPr="0058360A">
        <w:rPr>
          <w:rFonts w:ascii="Calibri" w:hAnsi="Calibri" w:cs="Calibri"/>
        </w:rPr>
        <w:t xml:space="preserve"> Cet indicateur est utile pour le suivi de nombre des plaintes </w:t>
      </w:r>
      <w:r>
        <w:rPr>
          <w:rFonts w:ascii="Calibri" w:hAnsi="Calibri" w:cs="Calibri"/>
        </w:rPr>
        <w:t>reçue</w:t>
      </w:r>
      <w:r w:rsidRPr="0058360A">
        <w:rPr>
          <w:rFonts w:ascii="Calibri" w:hAnsi="Calibri" w:cs="Calibri"/>
        </w:rPr>
        <w:t>s, mais il n’est pas indicatif de la bonne ou mauvaise fonctionnalité du MGP.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ECC30" w14:textId="77777777" w:rsidR="00352184" w:rsidRDefault="00352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A4C6F" w14:textId="77777777" w:rsidR="00352184" w:rsidRDefault="003521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5998B" w14:textId="77777777" w:rsidR="00352184" w:rsidRDefault="00352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5B10"/>
    <w:multiLevelType w:val="hybridMultilevel"/>
    <w:tmpl w:val="A8A680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260D7D"/>
    <w:multiLevelType w:val="hybridMultilevel"/>
    <w:tmpl w:val="E258E222"/>
    <w:lvl w:ilvl="0" w:tplc="7D3A895A">
      <w:start w:val="1"/>
      <w:numFmt w:val="bullet"/>
      <w:lvlText w:val=""/>
      <w:lvlJc w:val="left"/>
      <w:pPr>
        <w:ind w:left="1055" w:hanging="360"/>
      </w:pPr>
      <w:rPr>
        <w:rFonts w:ascii="Symbol" w:hAnsi="Symbol" w:hint="default"/>
        <w:color w:val="auto"/>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2" w15:restartNumberingAfterBreak="0">
    <w:nsid w:val="08CD55ED"/>
    <w:multiLevelType w:val="hybridMultilevel"/>
    <w:tmpl w:val="4FB8BB24"/>
    <w:lvl w:ilvl="0" w:tplc="7390CD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82DEE"/>
    <w:multiLevelType w:val="hybridMultilevel"/>
    <w:tmpl w:val="6542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249DE"/>
    <w:multiLevelType w:val="hybridMultilevel"/>
    <w:tmpl w:val="24B0FF10"/>
    <w:lvl w:ilvl="0" w:tplc="5FA4A80A">
      <w:start w:val="1"/>
      <w:numFmt w:val="bullet"/>
      <w:lvlText w:val=""/>
      <w:lvlJc w:val="left"/>
      <w:pPr>
        <w:ind w:left="1055" w:hanging="360"/>
      </w:pPr>
      <w:rPr>
        <w:rFonts w:ascii="Symbol" w:hAnsi="Symbol" w:hint="default"/>
        <w:b w:val="0"/>
        <w:i w:val="0"/>
        <w:color w:val="auto"/>
        <w:sz w:val="24"/>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cs="Wingdings" w:hint="default"/>
      </w:rPr>
    </w:lvl>
    <w:lvl w:ilvl="3" w:tplc="04090001" w:tentative="1">
      <w:start w:val="1"/>
      <w:numFmt w:val="bullet"/>
      <w:lvlText w:val=""/>
      <w:lvlJc w:val="left"/>
      <w:pPr>
        <w:ind w:left="3215" w:hanging="360"/>
      </w:pPr>
      <w:rPr>
        <w:rFonts w:ascii="Symbol" w:hAnsi="Symbol" w:cs="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cs="Wingdings" w:hint="default"/>
      </w:rPr>
    </w:lvl>
    <w:lvl w:ilvl="6" w:tplc="04090001" w:tentative="1">
      <w:start w:val="1"/>
      <w:numFmt w:val="bullet"/>
      <w:lvlText w:val=""/>
      <w:lvlJc w:val="left"/>
      <w:pPr>
        <w:ind w:left="5375" w:hanging="360"/>
      </w:pPr>
      <w:rPr>
        <w:rFonts w:ascii="Symbol" w:hAnsi="Symbol" w:cs="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cs="Wingdings" w:hint="default"/>
      </w:rPr>
    </w:lvl>
  </w:abstractNum>
  <w:abstractNum w:abstractNumId="5" w15:restartNumberingAfterBreak="0">
    <w:nsid w:val="0C042897"/>
    <w:multiLevelType w:val="hybridMultilevel"/>
    <w:tmpl w:val="C27C82F8"/>
    <w:lvl w:ilvl="0" w:tplc="DBAC0B58">
      <w:start w:val="1"/>
      <w:numFmt w:val="decimal"/>
      <w:lvlText w:val="%1."/>
      <w:lvlJc w:val="left"/>
      <w:pPr>
        <w:ind w:left="644" w:hanging="360"/>
      </w:pPr>
      <w:rPr>
        <w:rFonts w:ascii="Calibri" w:hAnsi="Calibri" w:cs="Calibri" w:hint="default"/>
        <w:b w:val="0"/>
        <w:i w:val="0"/>
        <w:sz w:val="22"/>
        <w:szCs w:val="22"/>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0F556E52"/>
    <w:multiLevelType w:val="hybridMultilevel"/>
    <w:tmpl w:val="696A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86690"/>
    <w:multiLevelType w:val="hybridMultilevel"/>
    <w:tmpl w:val="24260E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072C0"/>
    <w:multiLevelType w:val="hybridMultilevel"/>
    <w:tmpl w:val="23889322"/>
    <w:lvl w:ilvl="0" w:tplc="5FA4A80A">
      <w:start w:val="1"/>
      <w:numFmt w:val="bullet"/>
      <w:lvlText w:val=""/>
      <w:lvlJc w:val="left"/>
      <w:pPr>
        <w:ind w:left="1055" w:hanging="360"/>
      </w:pPr>
      <w:rPr>
        <w:rFonts w:ascii="Symbol" w:hAnsi="Symbol" w:hint="default"/>
        <w:b w:val="0"/>
        <w:i w:val="0"/>
        <w:color w:val="auto"/>
        <w:sz w:val="24"/>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cs="Wingdings" w:hint="default"/>
      </w:rPr>
    </w:lvl>
    <w:lvl w:ilvl="3" w:tplc="04090001" w:tentative="1">
      <w:start w:val="1"/>
      <w:numFmt w:val="bullet"/>
      <w:lvlText w:val=""/>
      <w:lvlJc w:val="left"/>
      <w:pPr>
        <w:ind w:left="3215" w:hanging="360"/>
      </w:pPr>
      <w:rPr>
        <w:rFonts w:ascii="Symbol" w:hAnsi="Symbol" w:cs="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cs="Wingdings" w:hint="default"/>
      </w:rPr>
    </w:lvl>
    <w:lvl w:ilvl="6" w:tplc="04090001" w:tentative="1">
      <w:start w:val="1"/>
      <w:numFmt w:val="bullet"/>
      <w:lvlText w:val=""/>
      <w:lvlJc w:val="left"/>
      <w:pPr>
        <w:ind w:left="5375" w:hanging="360"/>
      </w:pPr>
      <w:rPr>
        <w:rFonts w:ascii="Symbol" w:hAnsi="Symbol" w:cs="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cs="Wingdings" w:hint="default"/>
      </w:rPr>
    </w:lvl>
  </w:abstractNum>
  <w:abstractNum w:abstractNumId="9" w15:restartNumberingAfterBreak="0">
    <w:nsid w:val="1F8862BE"/>
    <w:multiLevelType w:val="multilevel"/>
    <w:tmpl w:val="6F603676"/>
    <w:lvl w:ilvl="0">
      <w:start w:val="1"/>
      <w:numFmt w:val="bullet"/>
      <w:lvlText w:val=""/>
      <w:lvlJc w:val="left"/>
      <w:pPr>
        <w:ind w:left="1070" w:hanging="360"/>
      </w:pPr>
      <w:rPr>
        <w:rFonts w:ascii="Wingdings" w:hAnsi="Wingdings" w:hint="default"/>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10" w15:restartNumberingAfterBreak="0">
    <w:nsid w:val="235E7467"/>
    <w:multiLevelType w:val="hybridMultilevel"/>
    <w:tmpl w:val="B0A2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72807"/>
    <w:multiLevelType w:val="hybridMultilevel"/>
    <w:tmpl w:val="4D5E6868"/>
    <w:lvl w:ilvl="0" w:tplc="E60CDFE6">
      <w:start w:val="1"/>
      <w:numFmt w:val="decimal"/>
      <w:lvlText w:val="%1."/>
      <w:lvlJc w:val="left"/>
      <w:pPr>
        <w:ind w:left="1620" w:hanging="360"/>
      </w:pPr>
      <w:rPr>
        <w:rFonts w:ascii="Calibri" w:eastAsia="MS Mincho" w:hAnsi="Calibri" w:cs="Calibri"/>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3AC67303"/>
    <w:multiLevelType w:val="hybridMultilevel"/>
    <w:tmpl w:val="91841596"/>
    <w:lvl w:ilvl="0" w:tplc="2F3210D6">
      <w:start w:val="1"/>
      <w:numFmt w:val="bullet"/>
      <w:lvlText w:val=""/>
      <w:lvlJc w:val="left"/>
      <w:pPr>
        <w:tabs>
          <w:tab w:val="num" w:pos="360"/>
        </w:tabs>
        <w:ind w:left="360" w:hanging="360"/>
      </w:pPr>
      <w:rPr>
        <w:rFonts w:ascii="Symbol" w:hAnsi="Symbol" w:hint="default"/>
      </w:rPr>
    </w:lvl>
    <w:lvl w:ilvl="1" w:tplc="68481378">
      <w:start w:val="1"/>
      <w:numFmt w:val="bullet"/>
      <w:lvlText w:val="o"/>
      <w:lvlJc w:val="left"/>
      <w:pPr>
        <w:ind w:left="1440" w:hanging="360"/>
      </w:pPr>
      <w:rPr>
        <w:rFonts w:ascii="Courier New" w:hAnsi="Courier New" w:cs="Gungsuh" w:hint="default"/>
      </w:rPr>
    </w:lvl>
    <w:lvl w:ilvl="2" w:tplc="6B040CD8" w:tentative="1">
      <w:start w:val="1"/>
      <w:numFmt w:val="bullet"/>
      <w:lvlText w:val=""/>
      <w:lvlJc w:val="left"/>
      <w:pPr>
        <w:ind w:left="2160" w:hanging="360"/>
      </w:pPr>
      <w:rPr>
        <w:rFonts w:ascii="Wingdings" w:hAnsi="Wingdings" w:hint="default"/>
      </w:rPr>
    </w:lvl>
    <w:lvl w:ilvl="3" w:tplc="117E54F8" w:tentative="1">
      <w:start w:val="1"/>
      <w:numFmt w:val="bullet"/>
      <w:lvlText w:val=""/>
      <w:lvlJc w:val="left"/>
      <w:pPr>
        <w:ind w:left="2880" w:hanging="360"/>
      </w:pPr>
      <w:rPr>
        <w:rFonts w:ascii="Symbol" w:hAnsi="Symbol" w:hint="default"/>
      </w:rPr>
    </w:lvl>
    <w:lvl w:ilvl="4" w:tplc="036221FA" w:tentative="1">
      <w:start w:val="1"/>
      <w:numFmt w:val="bullet"/>
      <w:lvlText w:val="o"/>
      <w:lvlJc w:val="left"/>
      <w:pPr>
        <w:ind w:left="3600" w:hanging="360"/>
      </w:pPr>
      <w:rPr>
        <w:rFonts w:ascii="Courier New" w:hAnsi="Courier New" w:cs="Gungsuh" w:hint="default"/>
      </w:rPr>
    </w:lvl>
    <w:lvl w:ilvl="5" w:tplc="EB34C362" w:tentative="1">
      <w:start w:val="1"/>
      <w:numFmt w:val="bullet"/>
      <w:lvlText w:val=""/>
      <w:lvlJc w:val="left"/>
      <w:pPr>
        <w:ind w:left="4320" w:hanging="360"/>
      </w:pPr>
      <w:rPr>
        <w:rFonts w:ascii="Wingdings" w:hAnsi="Wingdings" w:hint="default"/>
      </w:rPr>
    </w:lvl>
    <w:lvl w:ilvl="6" w:tplc="0D40CE5C" w:tentative="1">
      <w:start w:val="1"/>
      <w:numFmt w:val="bullet"/>
      <w:lvlText w:val=""/>
      <w:lvlJc w:val="left"/>
      <w:pPr>
        <w:ind w:left="5040" w:hanging="360"/>
      </w:pPr>
      <w:rPr>
        <w:rFonts w:ascii="Symbol" w:hAnsi="Symbol" w:hint="default"/>
      </w:rPr>
    </w:lvl>
    <w:lvl w:ilvl="7" w:tplc="5A56F1CC" w:tentative="1">
      <w:start w:val="1"/>
      <w:numFmt w:val="bullet"/>
      <w:lvlText w:val="o"/>
      <w:lvlJc w:val="left"/>
      <w:pPr>
        <w:ind w:left="5760" w:hanging="360"/>
      </w:pPr>
      <w:rPr>
        <w:rFonts w:ascii="Courier New" w:hAnsi="Courier New" w:cs="Gungsuh" w:hint="default"/>
      </w:rPr>
    </w:lvl>
    <w:lvl w:ilvl="8" w:tplc="BB0AF8FA" w:tentative="1">
      <w:start w:val="1"/>
      <w:numFmt w:val="bullet"/>
      <w:lvlText w:val=""/>
      <w:lvlJc w:val="left"/>
      <w:pPr>
        <w:ind w:left="6480" w:hanging="360"/>
      </w:pPr>
      <w:rPr>
        <w:rFonts w:ascii="Wingdings" w:hAnsi="Wingdings" w:hint="default"/>
      </w:rPr>
    </w:lvl>
  </w:abstractNum>
  <w:abstractNum w:abstractNumId="13" w15:restartNumberingAfterBreak="0">
    <w:nsid w:val="3B6B2F7A"/>
    <w:multiLevelType w:val="hybridMultilevel"/>
    <w:tmpl w:val="2EACF41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0F35DF9"/>
    <w:multiLevelType w:val="multilevel"/>
    <w:tmpl w:val="74020A9C"/>
    <w:lvl w:ilvl="0">
      <w:start w:val="1"/>
      <w:numFmt w:val="bullet"/>
      <w:lvlText w:val=""/>
      <w:lvlJc w:val="left"/>
      <w:pPr>
        <w:ind w:left="785" w:hanging="360"/>
      </w:pPr>
      <w:rPr>
        <w:rFonts w:ascii="Wingdings" w:hAnsi="Wingdings" w:hint="default"/>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5" w15:restartNumberingAfterBreak="0">
    <w:nsid w:val="49FD3078"/>
    <w:multiLevelType w:val="hybridMultilevel"/>
    <w:tmpl w:val="4D18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96795C"/>
    <w:multiLevelType w:val="hybridMultilevel"/>
    <w:tmpl w:val="C622BA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4C940AC6"/>
    <w:multiLevelType w:val="hybridMultilevel"/>
    <w:tmpl w:val="BFC6BDF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CF767EC"/>
    <w:multiLevelType w:val="hybridMultilevel"/>
    <w:tmpl w:val="AB96153C"/>
    <w:lvl w:ilvl="0" w:tplc="191A5852">
      <w:start w:val="1"/>
      <w:numFmt w:val="bullet"/>
      <w:lvlText w:val="-"/>
      <w:lvlJc w:val="left"/>
      <w:pPr>
        <w:ind w:left="695" w:hanging="360"/>
      </w:pPr>
      <w:rPr>
        <w:rFonts w:ascii="Calibri" w:eastAsia="MS Mincho" w:hAnsi="Calibri" w:cs="Calibri"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cs="Wingdings" w:hint="default"/>
      </w:rPr>
    </w:lvl>
    <w:lvl w:ilvl="3" w:tplc="04090001" w:tentative="1">
      <w:start w:val="1"/>
      <w:numFmt w:val="bullet"/>
      <w:lvlText w:val=""/>
      <w:lvlJc w:val="left"/>
      <w:pPr>
        <w:ind w:left="2855" w:hanging="360"/>
      </w:pPr>
      <w:rPr>
        <w:rFonts w:ascii="Symbol" w:hAnsi="Symbol" w:cs="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cs="Wingdings" w:hint="default"/>
      </w:rPr>
    </w:lvl>
    <w:lvl w:ilvl="6" w:tplc="04090001" w:tentative="1">
      <w:start w:val="1"/>
      <w:numFmt w:val="bullet"/>
      <w:lvlText w:val=""/>
      <w:lvlJc w:val="left"/>
      <w:pPr>
        <w:ind w:left="5015" w:hanging="360"/>
      </w:pPr>
      <w:rPr>
        <w:rFonts w:ascii="Symbol" w:hAnsi="Symbol" w:cs="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cs="Wingdings" w:hint="default"/>
      </w:rPr>
    </w:lvl>
  </w:abstractNum>
  <w:abstractNum w:abstractNumId="19" w15:restartNumberingAfterBreak="0">
    <w:nsid w:val="4D410259"/>
    <w:multiLevelType w:val="hybridMultilevel"/>
    <w:tmpl w:val="85080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C133D5"/>
    <w:multiLevelType w:val="hybridMultilevel"/>
    <w:tmpl w:val="5DC6DA66"/>
    <w:lvl w:ilvl="0" w:tplc="7390CD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8541F"/>
    <w:multiLevelType w:val="hybridMultilevel"/>
    <w:tmpl w:val="48683D68"/>
    <w:lvl w:ilvl="0" w:tplc="9C82B94C">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2" w15:restartNumberingAfterBreak="0">
    <w:nsid w:val="56140F55"/>
    <w:multiLevelType w:val="hybridMultilevel"/>
    <w:tmpl w:val="DCA686EC"/>
    <w:lvl w:ilvl="0" w:tplc="040C000F">
      <w:start w:val="1"/>
      <w:numFmt w:val="decimal"/>
      <w:lvlText w:val="%1."/>
      <w:lvlJc w:val="left"/>
      <w:pPr>
        <w:ind w:left="720" w:hanging="360"/>
      </w:pPr>
    </w:lvl>
    <w:lvl w:ilvl="1" w:tplc="7390CDCC">
      <w:numFmt w:val="bullet"/>
      <w:lvlText w:val="•"/>
      <w:lvlJc w:val="left"/>
      <w:pPr>
        <w:ind w:left="786" w:hanging="360"/>
      </w:pPr>
      <w:rPr>
        <w:rFonts w:ascii="Calibri" w:eastAsiaTheme="minorHAnsi" w:hAnsi="Calibri" w:cs="Calibr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74704FF"/>
    <w:multiLevelType w:val="hybridMultilevel"/>
    <w:tmpl w:val="44F60C7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E80E0F"/>
    <w:multiLevelType w:val="hybridMultilevel"/>
    <w:tmpl w:val="2C785B66"/>
    <w:lvl w:ilvl="0" w:tplc="9342DE54">
      <w:start w:val="1"/>
      <w:numFmt w:val="lowerRoman"/>
      <w:lvlText w:val="%1."/>
      <w:lvlJc w:val="left"/>
      <w:pPr>
        <w:ind w:left="1080" w:hanging="72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720" w:hanging="36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C5900BE"/>
    <w:multiLevelType w:val="multilevel"/>
    <w:tmpl w:val="2946C8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6C5F45"/>
    <w:multiLevelType w:val="hybridMultilevel"/>
    <w:tmpl w:val="65EA533A"/>
    <w:lvl w:ilvl="0" w:tplc="61AC91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0B178E"/>
    <w:multiLevelType w:val="hybridMultilevel"/>
    <w:tmpl w:val="DAC8BEF8"/>
    <w:lvl w:ilvl="0" w:tplc="9342DE54">
      <w:start w:val="1"/>
      <w:numFmt w:val="lowerRoman"/>
      <w:lvlText w:val="%1."/>
      <w:lvlJc w:val="left"/>
      <w:pPr>
        <w:ind w:left="1080" w:hanging="72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1897EAA"/>
    <w:multiLevelType w:val="hybridMultilevel"/>
    <w:tmpl w:val="14F8F1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62465815"/>
    <w:multiLevelType w:val="hybridMultilevel"/>
    <w:tmpl w:val="24260E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7C080C"/>
    <w:multiLevelType w:val="hybridMultilevel"/>
    <w:tmpl w:val="D3F61908"/>
    <w:lvl w:ilvl="0" w:tplc="7390CD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2F29B9"/>
    <w:multiLevelType w:val="hybridMultilevel"/>
    <w:tmpl w:val="A2729D4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D322FD"/>
    <w:multiLevelType w:val="hybridMultilevel"/>
    <w:tmpl w:val="E8BE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CC5FC5"/>
    <w:multiLevelType w:val="hybridMultilevel"/>
    <w:tmpl w:val="9F0069E2"/>
    <w:lvl w:ilvl="0" w:tplc="756C142C">
      <w:numFmt w:val="bullet"/>
      <w:lvlText w:val="-"/>
      <w:lvlJc w:val="left"/>
      <w:pPr>
        <w:ind w:left="1068" w:hanging="360"/>
      </w:pPr>
      <w:rPr>
        <w:rFonts w:ascii="Calibri" w:eastAsia="Times New Roman" w:hAnsi="Calibri" w:cstheme="minorHAns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15:restartNumberingAfterBreak="0">
    <w:nsid w:val="71144AFD"/>
    <w:multiLevelType w:val="multilevel"/>
    <w:tmpl w:val="4450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423437"/>
    <w:multiLevelType w:val="hybridMultilevel"/>
    <w:tmpl w:val="E0DC15B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71B32560"/>
    <w:multiLevelType w:val="hybridMultilevel"/>
    <w:tmpl w:val="F6246B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76D112D7"/>
    <w:multiLevelType w:val="hybridMultilevel"/>
    <w:tmpl w:val="CBC03E0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7C5D5C3D"/>
    <w:multiLevelType w:val="hybridMultilevel"/>
    <w:tmpl w:val="D26C3A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7DB55438"/>
    <w:multiLevelType w:val="hybridMultilevel"/>
    <w:tmpl w:val="6450DF46"/>
    <w:lvl w:ilvl="0" w:tplc="040C0005">
      <w:start w:val="1"/>
      <w:numFmt w:val="bullet"/>
      <w:lvlText w:val=""/>
      <w:lvlJc w:val="left"/>
      <w:pPr>
        <w:ind w:left="720" w:hanging="360"/>
      </w:pPr>
      <w:rPr>
        <w:rFonts w:ascii="Wingdings" w:hAnsi="Wingdings" w:hint="default"/>
      </w:rPr>
    </w:lvl>
    <w:lvl w:ilvl="1" w:tplc="BE4618A4">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14"/>
  </w:num>
  <w:num w:numId="4">
    <w:abstractNumId w:val="39"/>
  </w:num>
  <w:num w:numId="5">
    <w:abstractNumId w:val="9"/>
  </w:num>
  <w:num w:numId="6">
    <w:abstractNumId w:val="12"/>
  </w:num>
  <w:num w:numId="7">
    <w:abstractNumId w:val="17"/>
  </w:num>
  <w:num w:numId="8">
    <w:abstractNumId w:val="38"/>
  </w:num>
  <w:num w:numId="9">
    <w:abstractNumId w:val="13"/>
  </w:num>
  <w:num w:numId="10">
    <w:abstractNumId w:val="35"/>
  </w:num>
  <w:num w:numId="11">
    <w:abstractNumId w:val="37"/>
  </w:num>
  <w:num w:numId="12">
    <w:abstractNumId w:val="36"/>
  </w:num>
  <w:num w:numId="13">
    <w:abstractNumId w:val="28"/>
  </w:num>
  <w:num w:numId="14">
    <w:abstractNumId w:val="16"/>
  </w:num>
  <w:num w:numId="15">
    <w:abstractNumId w:val="26"/>
  </w:num>
  <w:num w:numId="16">
    <w:abstractNumId w:val="33"/>
  </w:num>
  <w:num w:numId="17">
    <w:abstractNumId w:val="5"/>
  </w:num>
  <w:num w:numId="18">
    <w:abstractNumId w:val="27"/>
  </w:num>
  <w:num w:numId="19">
    <w:abstractNumId w:val="24"/>
  </w:num>
  <w:num w:numId="20">
    <w:abstractNumId w:val="3"/>
  </w:num>
  <w:num w:numId="21">
    <w:abstractNumId w:val="2"/>
  </w:num>
  <w:num w:numId="22">
    <w:abstractNumId w:val="25"/>
  </w:num>
  <w:num w:numId="23">
    <w:abstractNumId w:val="20"/>
  </w:num>
  <w:num w:numId="24">
    <w:abstractNumId w:val="32"/>
  </w:num>
  <w:num w:numId="25">
    <w:abstractNumId w:val="15"/>
  </w:num>
  <w:num w:numId="26">
    <w:abstractNumId w:val="34"/>
  </w:num>
  <w:num w:numId="27">
    <w:abstractNumId w:val="31"/>
  </w:num>
  <w:num w:numId="28">
    <w:abstractNumId w:val="6"/>
  </w:num>
  <w:num w:numId="29">
    <w:abstractNumId w:val="11"/>
  </w:num>
  <w:num w:numId="30">
    <w:abstractNumId w:val="21"/>
  </w:num>
  <w:num w:numId="31">
    <w:abstractNumId w:val="8"/>
  </w:num>
  <w:num w:numId="32">
    <w:abstractNumId w:val="4"/>
  </w:num>
  <w:num w:numId="33">
    <w:abstractNumId w:val="18"/>
  </w:num>
  <w:num w:numId="34">
    <w:abstractNumId w:val="29"/>
  </w:num>
  <w:num w:numId="35">
    <w:abstractNumId w:val="10"/>
  </w:num>
  <w:num w:numId="36">
    <w:abstractNumId w:val="19"/>
  </w:num>
  <w:num w:numId="37">
    <w:abstractNumId w:val="23"/>
  </w:num>
  <w:num w:numId="38">
    <w:abstractNumId w:val="30"/>
  </w:num>
  <w:num w:numId="39">
    <w:abstractNumId w:val="1"/>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032"/>
    <w:rsid w:val="00062B2B"/>
    <w:rsid w:val="00063D35"/>
    <w:rsid w:val="000877CE"/>
    <w:rsid w:val="000C39BC"/>
    <w:rsid w:val="00102959"/>
    <w:rsid w:val="00121140"/>
    <w:rsid w:val="002B5830"/>
    <w:rsid w:val="0030260A"/>
    <w:rsid w:val="00302704"/>
    <w:rsid w:val="003361C6"/>
    <w:rsid w:val="00352184"/>
    <w:rsid w:val="00375AF9"/>
    <w:rsid w:val="003B4E10"/>
    <w:rsid w:val="003C0177"/>
    <w:rsid w:val="003F18AB"/>
    <w:rsid w:val="004370B0"/>
    <w:rsid w:val="004B5F76"/>
    <w:rsid w:val="004E042A"/>
    <w:rsid w:val="005916A4"/>
    <w:rsid w:val="005B4584"/>
    <w:rsid w:val="005E6C79"/>
    <w:rsid w:val="006A7F6F"/>
    <w:rsid w:val="00711B7A"/>
    <w:rsid w:val="007444D7"/>
    <w:rsid w:val="007777EB"/>
    <w:rsid w:val="007D424A"/>
    <w:rsid w:val="007F1D7D"/>
    <w:rsid w:val="00822700"/>
    <w:rsid w:val="00850377"/>
    <w:rsid w:val="008932F7"/>
    <w:rsid w:val="008E4C96"/>
    <w:rsid w:val="00930C5E"/>
    <w:rsid w:val="009F39ED"/>
    <w:rsid w:val="00A0687A"/>
    <w:rsid w:val="00A92CF8"/>
    <w:rsid w:val="00AA2DD2"/>
    <w:rsid w:val="00AB66D0"/>
    <w:rsid w:val="00BC1D38"/>
    <w:rsid w:val="00BC37E0"/>
    <w:rsid w:val="00BF0ED6"/>
    <w:rsid w:val="00C035F3"/>
    <w:rsid w:val="00C33B3E"/>
    <w:rsid w:val="00CC62AD"/>
    <w:rsid w:val="00D679BB"/>
    <w:rsid w:val="00DB6F6C"/>
    <w:rsid w:val="00DF050A"/>
    <w:rsid w:val="00E02032"/>
    <w:rsid w:val="00E048E1"/>
    <w:rsid w:val="00FB5BBB"/>
    <w:rsid w:val="00FE0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2D6A26"/>
  <w15:chartTrackingRefBased/>
  <w15:docId w15:val="{A15B0B1D-F160-064D-9230-A1459104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032"/>
    <w:pPr>
      <w:spacing w:after="160" w:line="259" w:lineRule="auto"/>
    </w:pPr>
    <w:rPr>
      <w:sz w:val="22"/>
      <w:szCs w:val="22"/>
      <w:lang w:val="fr-FR"/>
    </w:rPr>
  </w:style>
  <w:style w:type="paragraph" w:styleId="Heading1">
    <w:name w:val="heading 1"/>
    <w:basedOn w:val="Normal"/>
    <w:next w:val="Normal"/>
    <w:link w:val="Heading1Char"/>
    <w:qFormat/>
    <w:rsid w:val="00E020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20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020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0203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2032"/>
    <w:rPr>
      <w:rFonts w:asciiTheme="majorHAnsi" w:eastAsiaTheme="majorEastAsia" w:hAnsiTheme="majorHAnsi" w:cstheme="majorBidi"/>
      <w:color w:val="2F5496" w:themeColor="accent1" w:themeShade="BF"/>
      <w:sz w:val="32"/>
      <w:szCs w:val="32"/>
      <w:lang w:val="fr-FR"/>
    </w:rPr>
  </w:style>
  <w:style w:type="character" w:customStyle="1" w:styleId="Heading2Char">
    <w:name w:val="Heading 2 Char"/>
    <w:basedOn w:val="DefaultParagraphFont"/>
    <w:link w:val="Heading2"/>
    <w:uiPriority w:val="9"/>
    <w:rsid w:val="00E02032"/>
    <w:rPr>
      <w:rFonts w:asciiTheme="majorHAnsi" w:eastAsiaTheme="majorEastAsia" w:hAnsiTheme="majorHAnsi" w:cstheme="majorBidi"/>
      <w:color w:val="2F5496" w:themeColor="accent1" w:themeShade="BF"/>
      <w:sz w:val="26"/>
      <w:szCs w:val="26"/>
      <w:lang w:val="fr-FR"/>
    </w:rPr>
  </w:style>
  <w:style w:type="character" w:customStyle="1" w:styleId="Heading3Char">
    <w:name w:val="Heading 3 Char"/>
    <w:basedOn w:val="DefaultParagraphFont"/>
    <w:link w:val="Heading3"/>
    <w:uiPriority w:val="9"/>
    <w:rsid w:val="00E02032"/>
    <w:rPr>
      <w:rFonts w:asciiTheme="majorHAnsi" w:eastAsiaTheme="majorEastAsia" w:hAnsiTheme="majorHAnsi" w:cstheme="majorBidi"/>
      <w:color w:val="1F3763" w:themeColor="accent1" w:themeShade="7F"/>
      <w:lang w:val="fr-FR"/>
    </w:rPr>
  </w:style>
  <w:style w:type="character" w:customStyle="1" w:styleId="Heading4Char">
    <w:name w:val="Heading 4 Char"/>
    <w:basedOn w:val="DefaultParagraphFont"/>
    <w:link w:val="Heading4"/>
    <w:uiPriority w:val="9"/>
    <w:rsid w:val="00E02032"/>
    <w:rPr>
      <w:rFonts w:asciiTheme="majorHAnsi" w:eastAsiaTheme="majorEastAsia" w:hAnsiTheme="majorHAnsi" w:cstheme="majorBidi"/>
      <w:i/>
      <w:iCs/>
      <w:color w:val="2F5496" w:themeColor="accent1" w:themeShade="BF"/>
      <w:sz w:val="22"/>
      <w:szCs w:val="22"/>
      <w:lang w:val="fr-FR"/>
    </w:rPr>
  </w:style>
  <w:style w:type="paragraph" w:styleId="ListParagraph">
    <w:name w:val="List Paragraph"/>
    <w:aliases w:val="References,Liste 1,Bullets,List Bullet Mary,List Paragraph (numbered (a)),Numbered List Paragraph,ReferencesCxSpLast,List Paragraph nowy,List_Paragraph,Multilevel para_II,List Paragraph1,lp1,List Bullet-OpsManual,Title Style 1,Body,L,Ha"/>
    <w:basedOn w:val="Normal"/>
    <w:link w:val="ListParagraphChar"/>
    <w:uiPriority w:val="34"/>
    <w:qFormat/>
    <w:rsid w:val="00E02032"/>
    <w:pPr>
      <w:ind w:left="720"/>
      <w:contextualSpacing/>
    </w:pPr>
  </w:style>
  <w:style w:type="character" w:styleId="SubtleEmphasis">
    <w:name w:val="Subtle Emphasis"/>
    <w:basedOn w:val="DefaultParagraphFont"/>
    <w:uiPriority w:val="19"/>
    <w:qFormat/>
    <w:rsid w:val="00E02032"/>
    <w:rPr>
      <w:i/>
      <w:iCs/>
      <w:color w:val="404040" w:themeColor="text1" w:themeTint="BF"/>
    </w:rPr>
  </w:style>
  <w:style w:type="table" w:styleId="GridTable1Light-Accent1">
    <w:name w:val="Grid Table 1 Light Accent 1"/>
    <w:basedOn w:val="TableNormal"/>
    <w:uiPriority w:val="46"/>
    <w:rsid w:val="00E02032"/>
    <w:rPr>
      <w:rFonts w:ascii="Calibri" w:eastAsia="Calibri" w:hAnsi="Calibri" w:cs="Calibri"/>
      <w:sz w:val="22"/>
      <w:szCs w:val="22"/>
      <w:lang w:val="fr-FR" w:eastAsia="fr-FR"/>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E02032"/>
    <w:pPr>
      <w:outlineLvl w:val="9"/>
    </w:pPr>
    <w:rPr>
      <w:lang w:eastAsia="fr-FR"/>
    </w:rPr>
  </w:style>
  <w:style w:type="paragraph" w:styleId="NormalWeb">
    <w:name w:val="Normal (Web)"/>
    <w:basedOn w:val="Normal"/>
    <w:uiPriority w:val="99"/>
    <w:unhideWhenUsed/>
    <w:rsid w:val="00E02032"/>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ableGrid">
    <w:name w:val="Table Grid"/>
    <w:aliases w:val="TNS table,Table long document,mtbs,TabelEcorys,Vale 4,Table Grid (Appendix list)"/>
    <w:basedOn w:val="TableNormal"/>
    <w:uiPriority w:val="39"/>
    <w:rsid w:val="00E02032"/>
    <w:rPr>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rsid w:val="00E02032"/>
    <w:pPr>
      <w:autoSpaceDE w:val="0"/>
      <w:autoSpaceDN w:val="0"/>
      <w:adjustRightInd w:val="0"/>
    </w:pPr>
    <w:rPr>
      <w:rFonts w:ascii="ILIFMI+TimesNewRoman" w:eastAsia="Times New Roman" w:hAnsi="ILIFMI+TimesNewRoman" w:cs="Times New Roman"/>
      <w:color w:val="000000"/>
    </w:rPr>
  </w:style>
  <w:style w:type="character" w:customStyle="1" w:styleId="DefaultCar">
    <w:name w:val="Default Car"/>
    <w:link w:val="Default"/>
    <w:rsid w:val="00E02032"/>
    <w:rPr>
      <w:rFonts w:ascii="ILIFMI+TimesNewRoman" w:eastAsia="Times New Roman" w:hAnsi="ILIFMI+TimesNewRoman" w:cs="Times New Roman"/>
      <w:color w:val="000000"/>
      <w:lang w:val="en-US"/>
    </w:rPr>
  </w:style>
  <w:style w:type="paragraph" w:styleId="FootnoteText">
    <w:name w:val="footnote text"/>
    <w:aliases w:val="single space,footnote text,fn,FOOTNOTES,Footnote Text Char Char Char,ft,Char,f,Footnote Text Char1,Footnote Text Char2 Char,Footnote Text Char1 Char Char,Footnote Text Char2 Char Char Char,Footnote Text Char1 Char Char Char Char,ADB,9"/>
    <w:basedOn w:val="Normal"/>
    <w:link w:val="FootnoteTextChar"/>
    <w:unhideWhenUsed/>
    <w:qFormat/>
    <w:rsid w:val="00E02032"/>
    <w:pPr>
      <w:spacing w:after="0" w:line="240" w:lineRule="auto"/>
    </w:pPr>
    <w:rPr>
      <w:sz w:val="20"/>
      <w:szCs w:val="20"/>
    </w:rPr>
  </w:style>
  <w:style w:type="character" w:customStyle="1" w:styleId="FootnoteTextChar">
    <w:name w:val="Footnote Text Char"/>
    <w:aliases w:val="single space Char,footnote text Char,fn Char,FOOTNOTES Char,Footnote Text Char Char Char Char,ft Char,Char Char,f Char,Footnote Text Char1 Char,Footnote Text Char2 Char Char,Footnote Text Char1 Char Char Char,ADB Char,9 Char"/>
    <w:basedOn w:val="DefaultParagraphFont"/>
    <w:link w:val="FootnoteText"/>
    <w:qFormat/>
    <w:rsid w:val="00E02032"/>
    <w:rPr>
      <w:sz w:val="20"/>
      <w:szCs w:val="20"/>
      <w:lang w:val="fr-FR"/>
    </w:rPr>
  </w:style>
  <w:style w:type="character" w:styleId="FootnoteReference">
    <w:name w:val="footnote reference"/>
    <w:aliases w:val="ftref,16 Point,Superscript 6 Point,note bp,Car Car Char Car Char Car Car Char Car Char Char,Car Car Car Car Car Car Car Car Char Car Car Char Car Car Car Char Car Char Char Char,(NECG) Footnote Reference,Ref,de nota al pie,fr, BVI fnr"/>
    <w:basedOn w:val="DefaultParagraphFont"/>
    <w:link w:val="BVIfnrCharCharCharCharCharChar1CharCharCharCharCharChar"/>
    <w:unhideWhenUsed/>
    <w:qFormat/>
    <w:rsid w:val="00E02032"/>
    <w:rPr>
      <w:vertAlign w:val="superscript"/>
    </w:rPr>
  </w:style>
  <w:style w:type="table" w:styleId="GridTable6Colorful-Accent1">
    <w:name w:val="Grid Table 6 Colorful Accent 1"/>
    <w:basedOn w:val="TableNormal"/>
    <w:uiPriority w:val="51"/>
    <w:rsid w:val="00E02032"/>
    <w:rPr>
      <w:color w:val="2F5496" w:themeColor="accent1" w:themeShade="BF"/>
      <w:sz w:val="22"/>
      <w:szCs w:val="22"/>
      <w:lang w:val="fr-F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1">
    <w:name w:val="toc 1"/>
    <w:basedOn w:val="Normal"/>
    <w:next w:val="Normal"/>
    <w:autoRedefine/>
    <w:uiPriority w:val="39"/>
    <w:unhideWhenUsed/>
    <w:rsid w:val="00E02032"/>
    <w:pPr>
      <w:spacing w:before="360" w:after="360"/>
    </w:pPr>
    <w:rPr>
      <w:rFonts w:cstheme="minorHAnsi"/>
      <w:b/>
      <w:bCs/>
      <w:caps/>
      <w:u w:val="single"/>
    </w:rPr>
  </w:style>
  <w:style w:type="character" w:styleId="Hyperlink">
    <w:name w:val="Hyperlink"/>
    <w:basedOn w:val="DefaultParagraphFont"/>
    <w:uiPriority w:val="99"/>
    <w:unhideWhenUsed/>
    <w:rsid w:val="00E02032"/>
    <w:rPr>
      <w:color w:val="0563C1" w:themeColor="hyperlink"/>
      <w:u w:val="single"/>
    </w:rPr>
  </w:style>
  <w:style w:type="character" w:styleId="CommentReference">
    <w:name w:val="annotation reference"/>
    <w:basedOn w:val="DefaultParagraphFont"/>
    <w:uiPriority w:val="99"/>
    <w:semiHidden/>
    <w:unhideWhenUsed/>
    <w:rsid w:val="00E02032"/>
    <w:rPr>
      <w:sz w:val="16"/>
      <w:szCs w:val="16"/>
    </w:rPr>
  </w:style>
  <w:style w:type="paragraph" w:styleId="CommentText">
    <w:name w:val="annotation text"/>
    <w:basedOn w:val="Normal"/>
    <w:link w:val="CommentTextChar"/>
    <w:uiPriority w:val="99"/>
    <w:semiHidden/>
    <w:unhideWhenUsed/>
    <w:rsid w:val="00E02032"/>
    <w:pPr>
      <w:spacing w:line="240" w:lineRule="auto"/>
    </w:pPr>
    <w:rPr>
      <w:sz w:val="20"/>
      <w:szCs w:val="20"/>
    </w:rPr>
  </w:style>
  <w:style w:type="character" w:customStyle="1" w:styleId="CommentTextChar">
    <w:name w:val="Comment Text Char"/>
    <w:basedOn w:val="DefaultParagraphFont"/>
    <w:link w:val="CommentText"/>
    <w:uiPriority w:val="99"/>
    <w:semiHidden/>
    <w:rsid w:val="00E02032"/>
    <w:rPr>
      <w:sz w:val="20"/>
      <w:szCs w:val="20"/>
      <w:lang w:val="fr-FR"/>
    </w:rPr>
  </w:style>
  <w:style w:type="paragraph" w:styleId="CommentSubject">
    <w:name w:val="annotation subject"/>
    <w:basedOn w:val="CommentText"/>
    <w:next w:val="CommentText"/>
    <w:link w:val="CommentSubjectChar"/>
    <w:uiPriority w:val="99"/>
    <w:semiHidden/>
    <w:unhideWhenUsed/>
    <w:rsid w:val="00E02032"/>
    <w:rPr>
      <w:b/>
      <w:bCs/>
    </w:rPr>
  </w:style>
  <w:style w:type="character" w:customStyle="1" w:styleId="CommentSubjectChar">
    <w:name w:val="Comment Subject Char"/>
    <w:basedOn w:val="CommentTextChar"/>
    <w:link w:val="CommentSubject"/>
    <w:uiPriority w:val="99"/>
    <w:semiHidden/>
    <w:rsid w:val="00E02032"/>
    <w:rPr>
      <w:b/>
      <w:bCs/>
      <w:sz w:val="20"/>
      <w:szCs w:val="20"/>
      <w:lang w:val="fr-FR"/>
    </w:rPr>
  </w:style>
  <w:style w:type="paragraph" w:styleId="BalloonText">
    <w:name w:val="Balloon Text"/>
    <w:basedOn w:val="Normal"/>
    <w:link w:val="BalloonTextChar"/>
    <w:uiPriority w:val="99"/>
    <w:semiHidden/>
    <w:unhideWhenUsed/>
    <w:rsid w:val="00E0203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2032"/>
    <w:rPr>
      <w:rFonts w:ascii="Times New Roman" w:hAnsi="Times New Roman" w:cs="Times New Roman"/>
      <w:sz w:val="18"/>
      <w:szCs w:val="18"/>
      <w:lang w:val="fr-FR"/>
    </w:rPr>
  </w:style>
  <w:style w:type="character" w:customStyle="1" w:styleId="UnresolvedMention1">
    <w:name w:val="Unresolved Mention1"/>
    <w:basedOn w:val="DefaultParagraphFont"/>
    <w:uiPriority w:val="99"/>
    <w:semiHidden/>
    <w:unhideWhenUsed/>
    <w:rsid w:val="00E02032"/>
    <w:rPr>
      <w:color w:val="605E5C"/>
      <w:shd w:val="clear" w:color="auto" w:fill="E1DFDD"/>
    </w:rPr>
  </w:style>
  <w:style w:type="paragraph" w:styleId="NoSpacing">
    <w:name w:val="No Spacing"/>
    <w:link w:val="NoSpacingChar"/>
    <w:uiPriority w:val="1"/>
    <w:qFormat/>
    <w:rsid w:val="00E02032"/>
    <w:rPr>
      <w:sz w:val="22"/>
      <w:szCs w:val="22"/>
      <w:lang w:val="fr-FR"/>
    </w:rPr>
  </w:style>
  <w:style w:type="character" w:customStyle="1" w:styleId="NoSpacingChar">
    <w:name w:val="No Spacing Char"/>
    <w:basedOn w:val="DefaultParagraphFont"/>
    <w:link w:val="NoSpacing"/>
    <w:uiPriority w:val="1"/>
    <w:rsid w:val="00E02032"/>
    <w:rPr>
      <w:sz w:val="22"/>
      <w:szCs w:val="22"/>
      <w:lang w:val="fr-FR"/>
    </w:rPr>
  </w:style>
  <w:style w:type="paragraph" w:styleId="IntenseQuote">
    <w:name w:val="Intense Quote"/>
    <w:basedOn w:val="Normal"/>
    <w:next w:val="Normal"/>
    <w:link w:val="IntenseQuoteChar"/>
    <w:uiPriority w:val="30"/>
    <w:qFormat/>
    <w:rsid w:val="00E0203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02032"/>
    <w:rPr>
      <w:i/>
      <w:iCs/>
      <w:color w:val="4472C4" w:themeColor="accent1"/>
      <w:sz w:val="22"/>
      <w:szCs w:val="22"/>
      <w:lang w:val="fr-FR"/>
    </w:rPr>
  </w:style>
  <w:style w:type="paragraph" w:customStyle="1" w:styleId="BVIfnrCharCharCharCharCharChar1CharCharCharCharCharChar">
    <w:name w:val="BVI fnr Char Char Char Char Char Char1 Char Char Char Char Char Char"/>
    <w:aliases w:val="BVI fnr Car Car Char Char Char Char Char Char Char Char Char Char Char Char,BVI fnr Car Char Char Char Char Char Char Char Char Char Char Char Char Char"/>
    <w:basedOn w:val="Normal"/>
    <w:link w:val="FootnoteReference"/>
    <w:rsid w:val="00E02032"/>
    <w:pPr>
      <w:spacing w:after="200" w:line="240" w:lineRule="exact"/>
    </w:pPr>
    <w:rPr>
      <w:sz w:val="24"/>
      <w:szCs w:val="24"/>
      <w:vertAlign w:val="superscript"/>
    </w:rPr>
  </w:style>
  <w:style w:type="table" w:styleId="PlainTable4">
    <w:name w:val="Plain Table 4"/>
    <w:basedOn w:val="TableNormal"/>
    <w:uiPriority w:val="44"/>
    <w:rsid w:val="00E02032"/>
    <w:rPr>
      <w:sz w:val="22"/>
      <w:szCs w:val="22"/>
      <w:lang w:val="fr-F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02032"/>
    <w:rPr>
      <w:sz w:val="22"/>
      <w:szCs w:val="22"/>
      <w:lang w:val="fr-F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1">
    <w:name w:val="Grid Table 3 Accent 1"/>
    <w:basedOn w:val="TableNormal"/>
    <w:uiPriority w:val="48"/>
    <w:rsid w:val="00E02032"/>
    <w:rPr>
      <w:sz w:val="22"/>
      <w:szCs w:val="22"/>
      <w:lang w:val="fr-F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TOC3">
    <w:name w:val="toc 3"/>
    <w:basedOn w:val="Normal"/>
    <w:next w:val="Normal"/>
    <w:autoRedefine/>
    <w:uiPriority w:val="39"/>
    <w:unhideWhenUsed/>
    <w:rsid w:val="00E02032"/>
    <w:pPr>
      <w:spacing w:after="0"/>
    </w:pPr>
    <w:rPr>
      <w:rFonts w:cstheme="minorHAnsi"/>
      <w:smallCaps/>
    </w:rPr>
  </w:style>
  <w:style w:type="table" w:styleId="GridTable2-Accent5">
    <w:name w:val="Grid Table 2 Accent 5"/>
    <w:basedOn w:val="TableNormal"/>
    <w:uiPriority w:val="47"/>
    <w:rsid w:val="00E02032"/>
    <w:rPr>
      <w:sz w:val="22"/>
      <w:szCs w:val="22"/>
      <w:lang w:val="fr-FR"/>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paragraph">
    <w:name w:val="paragraph"/>
    <w:basedOn w:val="Normal"/>
    <w:rsid w:val="00E020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02032"/>
  </w:style>
  <w:style w:type="character" w:customStyle="1" w:styleId="eop">
    <w:name w:val="eop"/>
    <w:basedOn w:val="DefaultParagraphFont"/>
    <w:rsid w:val="00E02032"/>
  </w:style>
  <w:style w:type="paragraph" w:styleId="Header">
    <w:name w:val="header"/>
    <w:basedOn w:val="Normal"/>
    <w:link w:val="HeaderChar"/>
    <w:uiPriority w:val="99"/>
    <w:unhideWhenUsed/>
    <w:rsid w:val="00E020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2032"/>
    <w:rPr>
      <w:sz w:val="22"/>
      <w:szCs w:val="22"/>
      <w:lang w:val="fr-FR"/>
    </w:rPr>
  </w:style>
  <w:style w:type="paragraph" w:styleId="Footer">
    <w:name w:val="footer"/>
    <w:basedOn w:val="Normal"/>
    <w:link w:val="FooterChar"/>
    <w:uiPriority w:val="99"/>
    <w:unhideWhenUsed/>
    <w:rsid w:val="00E020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2032"/>
    <w:rPr>
      <w:sz w:val="22"/>
      <w:szCs w:val="22"/>
      <w:lang w:val="fr-FR"/>
    </w:rPr>
  </w:style>
  <w:style w:type="character" w:customStyle="1" w:styleId="ListParagraphChar">
    <w:name w:val="List Paragraph Char"/>
    <w:aliases w:val="References Char,Liste 1 Char,Bullets Char,List Bullet Mary Char,List Paragraph (numbered (a)) Char,Numbered List Paragraph Char,ReferencesCxSpLast Char,List Paragraph nowy Char,List_Paragraph Char,Multilevel para_II Char,lp1 Char"/>
    <w:link w:val="ListParagraph"/>
    <w:uiPriority w:val="34"/>
    <w:qFormat/>
    <w:locked/>
    <w:rsid w:val="00E02032"/>
    <w:rPr>
      <w:sz w:val="22"/>
      <w:szCs w:val="22"/>
      <w:lang w:val="fr-FR"/>
    </w:rPr>
  </w:style>
  <w:style w:type="character" w:styleId="UnresolvedMention">
    <w:name w:val="Unresolved Mention"/>
    <w:basedOn w:val="DefaultParagraphFont"/>
    <w:uiPriority w:val="99"/>
    <w:semiHidden/>
    <w:unhideWhenUsed/>
    <w:rsid w:val="00E02032"/>
    <w:rPr>
      <w:color w:val="605E5C"/>
      <w:shd w:val="clear" w:color="auto" w:fill="E1DFDD"/>
    </w:rPr>
  </w:style>
  <w:style w:type="character" w:styleId="FollowedHyperlink">
    <w:name w:val="FollowedHyperlink"/>
    <w:basedOn w:val="DefaultParagraphFont"/>
    <w:uiPriority w:val="99"/>
    <w:semiHidden/>
    <w:unhideWhenUsed/>
    <w:rsid w:val="00E02032"/>
    <w:rPr>
      <w:color w:val="954F72" w:themeColor="followedHyperlink"/>
      <w:u w:val="single"/>
    </w:rPr>
  </w:style>
  <w:style w:type="paragraph" w:customStyle="1" w:styleId="CharChar1CharCharCharChar1CharCharCharCharCharCharCharChar">
    <w:name w:val="Char Char1 Char Char Char Char1 Char Char Char Char Char Char Char Char"/>
    <w:basedOn w:val="Normal"/>
    <w:next w:val="Normal"/>
    <w:uiPriority w:val="99"/>
    <w:rsid w:val="00E02032"/>
    <w:pPr>
      <w:spacing w:line="240" w:lineRule="exact"/>
    </w:pPr>
    <w:rPr>
      <w:vertAlign w:val="superscript"/>
      <w:lang w:val="en-US"/>
    </w:rPr>
  </w:style>
  <w:style w:type="paragraph" w:styleId="TOC2">
    <w:name w:val="toc 2"/>
    <w:basedOn w:val="Normal"/>
    <w:next w:val="Normal"/>
    <w:autoRedefine/>
    <w:uiPriority w:val="39"/>
    <w:unhideWhenUsed/>
    <w:rsid w:val="00E02032"/>
    <w:pPr>
      <w:spacing w:after="0"/>
    </w:pPr>
    <w:rPr>
      <w:rFonts w:cstheme="minorHAnsi"/>
      <w:b/>
      <w:bCs/>
      <w:smallCaps/>
    </w:rPr>
  </w:style>
  <w:style w:type="paragraph" w:styleId="TOC4">
    <w:name w:val="toc 4"/>
    <w:basedOn w:val="Normal"/>
    <w:next w:val="Normal"/>
    <w:autoRedefine/>
    <w:uiPriority w:val="39"/>
    <w:semiHidden/>
    <w:unhideWhenUsed/>
    <w:rsid w:val="00E02032"/>
    <w:pPr>
      <w:spacing w:after="0"/>
    </w:pPr>
    <w:rPr>
      <w:rFonts w:cstheme="minorHAnsi"/>
    </w:rPr>
  </w:style>
  <w:style w:type="paragraph" w:styleId="TOC5">
    <w:name w:val="toc 5"/>
    <w:basedOn w:val="Normal"/>
    <w:next w:val="Normal"/>
    <w:autoRedefine/>
    <w:uiPriority w:val="39"/>
    <w:semiHidden/>
    <w:unhideWhenUsed/>
    <w:rsid w:val="00E02032"/>
    <w:pPr>
      <w:spacing w:after="0"/>
    </w:pPr>
    <w:rPr>
      <w:rFonts w:cstheme="minorHAnsi"/>
    </w:rPr>
  </w:style>
  <w:style w:type="paragraph" w:styleId="TOC6">
    <w:name w:val="toc 6"/>
    <w:basedOn w:val="Normal"/>
    <w:next w:val="Normal"/>
    <w:autoRedefine/>
    <w:uiPriority w:val="39"/>
    <w:semiHidden/>
    <w:unhideWhenUsed/>
    <w:rsid w:val="00E02032"/>
    <w:pPr>
      <w:spacing w:after="0"/>
    </w:pPr>
    <w:rPr>
      <w:rFonts w:cstheme="minorHAnsi"/>
    </w:rPr>
  </w:style>
  <w:style w:type="paragraph" w:styleId="TOC7">
    <w:name w:val="toc 7"/>
    <w:basedOn w:val="Normal"/>
    <w:next w:val="Normal"/>
    <w:autoRedefine/>
    <w:uiPriority w:val="39"/>
    <w:semiHidden/>
    <w:unhideWhenUsed/>
    <w:rsid w:val="00E02032"/>
    <w:pPr>
      <w:spacing w:after="0"/>
    </w:pPr>
    <w:rPr>
      <w:rFonts w:cstheme="minorHAnsi"/>
    </w:rPr>
  </w:style>
  <w:style w:type="paragraph" w:styleId="TOC8">
    <w:name w:val="toc 8"/>
    <w:basedOn w:val="Normal"/>
    <w:next w:val="Normal"/>
    <w:autoRedefine/>
    <w:uiPriority w:val="39"/>
    <w:semiHidden/>
    <w:unhideWhenUsed/>
    <w:rsid w:val="00E02032"/>
    <w:pPr>
      <w:spacing w:after="0"/>
    </w:pPr>
    <w:rPr>
      <w:rFonts w:cstheme="minorHAnsi"/>
    </w:rPr>
  </w:style>
  <w:style w:type="paragraph" w:styleId="TOC9">
    <w:name w:val="toc 9"/>
    <w:basedOn w:val="Normal"/>
    <w:next w:val="Normal"/>
    <w:autoRedefine/>
    <w:uiPriority w:val="39"/>
    <w:semiHidden/>
    <w:unhideWhenUsed/>
    <w:rsid w:val="00E02032"/>
    <w:pPr>
      <w:spacing w:after="0"/>
    </w:pPr>
    <w:rPr>
      <w:rFonts w:cstheme="minorHAnsi"/>
    </w:rPr>
  </w:style>
  <w:style w:type="character" w:customStyle="1" w:styleId="BodyTextChar">
    <w:name w:val="Body Text Char"/>
    <w:link w:val="BodyText"/>
    <w:rsid w:val="00E02032"/>
    <w:rPr>
      <w:rFonts w:ascii="Arial" w:eastAsia="Times New Roman" w:hAnsi="Arial"/>
    </w:rPr>
  </w:style>
  <w:style w:type="paragraph" w:styleId="BodyText">
    <w:name w:val="Body Text"/>
    <w:basedOn w:val="Normal"/>
    <w:link w:val="BodyTextChar"/>
    <w:rsid w:val="00E02032"/>
    <w:pPr>
      <w:spacing w:before="120" w:after="120" w:line="240" w:lineRule="auto"/>
      <w:jc w:val="both"/>
    </w:pPr>
    <w:rPr>
      <w:rFonts w:ascii="Arial" w:eastAsia="Times New Roman" w:hAnsi="Arial"/>
      <w:sz w:val="24"/>
      <w:szCs w:val="24"/>
    </w:rPr>
  </w:style>
  <w:style w:type="character" w:customStyle="1" w:styleId="BodyTextChar1">
    <w:name w:val="Body Text Char1"/>
    <w:basedOn w:val="DefaultParagraphFont"/>
    <w:uiPriority w:val="99"/>
    <w:semiHidden/>
    <w:rsid w:val="00E02032"/>
    <w:rPr>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unwomen.org/en/news/stories/2020/4/statement-ed-phumzile-violence-against-women-during-pandemic" TargetMode="External"/><Relationship Id="rId2" Type="http://schemas.openxmlformats.org/officeDocument/2006/relationships/hyperlink" Target="https://www.icrc.org/en/document/central-african-republic-contending-covid-19-midst-serious-humanitarian-crisis" TargetMode="External"/><Relationship Id="rId1" Type="http://schemas.openxmlformats.org/officeDocument/2006/relationships/hyperlink" Target="https://www.care-international.org/files/files/Counting_the_costofViolence.pdf" TargetMode="External"/><Relationship Id="rId4" Type="http://schemas.openxmlformats.org/officeDocument/2006/relationships/hyperlink" Target="http://www.sddirect.org.uk/media/1881/vawg-helpdesk-284-covid-19-and-vaw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a75da0ccb82e05083301405a4183d38b">
  <xsd:schema xmlns:xsd="http://www.w3.org/2001/XMLSchema" xmlns:xs="http://www.w3.org/2001/XMLSchema" xmlns:p="http://schemas.microsoft.com/office/2006/metadata/properties" xmlns:ns3="eda4fd43-f936-4ced-9b4a-46c1ef7d5473" xmlns:ns4="aa3449fd-d373-417f-9c8d-cf261ce8b785" targetNamespace="http://schemas.microsoft.com/office/2006/metadata/properties" ma:root="true" ma:fieldsID="5490453b91bdd292e226e4f8aab8fe3c" ns3:_="" ns4:_="">
    <xsd:import namespace="eda4fd43-f936-4ced-9b4a-46c1ef7d5473"/>
    <xsd:import namespace="aa3449fd-d373-417f-9c8d-cf261ce8b7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137971-0340-41C9-90BD-00AAF0B63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4fd43-f936-4ced-9b4a-46c1ef7d5473"/>
    <ds:schemaRef ds:uri="aa3449fd-d373-417f-9c8d-cf261ce8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018E1C-2948-41BB-ACCC-4D1FAB61B1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9B488D-C1FD-4E52-A399-5A29F10D72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51</Pages>
  <Words>16925</Words>
  <Characters>96478</Characters>
  <Application>Microsoft Office Word</Application>
  <DocSecurity>0</DocSecurity>
  <Lines>803</Lines>
  <Paragraphs>226</Paragraphs>
  <ScaleCrop>false</ScaleCrop>
  <Company>UNHCR</Company>
  <LinksUpToDate>false</LinksUpToDate>
  <CharactersWithSpaces>113177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Capital Humain et Autonomisation des Filles   « Projet Maïngo » P171158</dc:title>
  <dc:subject/>
  <dc:creator>Celine Calve</dc:creator>
  <cp:keywords/>
  <dc:description/>
  <cp:lastModifiedBy>Yves Bertrand Koudjou Tatang</cp:lastModifiedBy>
  <cp:revision>20</cp:revision>
  <dcterms:created xsi:type="dcterms:W3CDTF">2021-04-22T22:21:00Z</dcterms:created>
  <dcterms:modified xsi:type="dcterms:W3CDTF">2021-05-02T08:58:00Z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