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CC8B5" w14:textId="470B1727" w:rsidR="00C77A35" w:rsidRPr="002E0827" w:rsidRDefault="00C77A35">
      <w:pPr>
        <w:rPr>
          <w:rFonts w:ascii="Times New Roman" w:hAnsi="Times New Roman" w:cs="Times New Roman"/>
          <w:lang w:val="fr-CH"/>
        </w:rPr>
      </w:pPr>
    </w:p>
    <w:p w14:paraId="53CBE1FD" w14:textId="77777777" w:rsidR="00C77A35" w:rsidRPr="002E0827" w:rsidRDefault="00C77A35">
      <w:pPr>
        <w:rPr>
          <w:rFonts w:ascii="Times New Roman" w:hAnsi="Times New Roman" w:cs="Times New Roman"/>
          <w:lang w:val="fr-CH"/>
        </w:rPr>
      </w:pPr>
    </w:p>
    <w:p w14:paraId="5F0B438B" w14:textId="77777777" w:rsidR="00616C21" w:rsidRPr="002E0827" w:rsidRDefault="00616C21">
      <w:pPr>
        <w:rPr>
          <w:rFonts w:ascii="Times New Roman" w:hAnsi="Times New Roman" w:cs="Times New Roman"/>
          <w:lang w:val="fr-CH"/>
        </w:rPr>
      </w:pPr>
    </w:p>
    <w:p w14:paraId="6316CA4F" w14:textId="77777777" w:rsidR="00616C21" w:rsidRPr="002E0827" w:rsidRDefault="00616C21">
      <w:pPr>
        <w:rPr>
          <w:rFonts w:ascii="Times New Roman" w:hAnsi="Times New Roman" w:cs="Times New Roman"/>
          <w:lang w:val="fr-CH"/>
        </w:rPr>
      </w:pPr>
    </w:p>
    <w:p w14:paraId="76EEDF62" w14:textId="77777777" w:rsidR="00616C21" w:rsidRPr="002E0827" w:rsidRDefault="00616C21">
      <w:pPr>
        <w:rPr>
          <w:rFonts w:ascii="Times New Roman" w:hAnsi="Times New Roman" w:cs="Times New Roman"/>
          <w:lang w:val="fr-CH"/>
        </w:rPr>
      </w:pPr>
    </w:p>
    <w:p w14:paraId="2BFFEA9F" w14:textId="77777777" w:rsidR="00616C21" w:rsidRPr="002E0827" w:rsidRDefault="00616C21">
      <w:pPr>
        <w:rPr>
          <w:rFonts w:ascii="Times New Roman" w:hAnsi="Times New Roman" w:cs="Times New Roman"/>
          <w:lang w:val="fr-CH"/>
        </w:rPr>
      </w:pPr>
    </w:p>
    <w:p w14:paraId="2D6298D6" w14:textId="57DF26B6" w:rsidR="0061434B" w:rsidRPr="0061434B" w:rsidRDefault="00E54D85" w:rsidP="0061434B">
      <w:pPr>
        <w:jc w:val="center"/>
        <w:rPr>
          <w:rFonts w:ascii="Times New Roman" w:eastAsia="Times New Roman" w:hAnsi="Times New Roman" w:cs="Times New Roman"/>
          <w:sz w:val="27"/>
          <w:szCs w:val="27"/>
          <w:lang w:val="fr-CH" w:eastAsia="en-GB"/>
        </w:rPr>
      </w:pPr>
      <w:r>
        <w:rPr>
          <w:rFonts w:ascii="Times New Roman" w:eastAsia="Times New Roman" w:hAnsi="Times New Roman" w:cs="Times New Roman"/>
          <w:sz w:val="27"/>
          <w:szCs w:val="27"/>
          <w:lang w:val="fr-CH" w:eastAsia="en-GB"/>
        </w:rPr>
        <w:t xml:space="preserve">PROJET </w:t>
      </w:r>
      <w:r w:rsidR="0033144A">
        <w:rPr>
          <w:rFonts w:ascii="Times New Roman" w:eastAsia="Times New Roman" w:hAnsi="Times New Roman" w:cs="Times New Roman"/>
          <w:sz w:val="27"/>
          <w:szCs w:val="27"/>
          <w:lang w:val="fr-CH" w:eastAsia="en-GB"/>
        </w:rPr>
        <w:t xml:space="preserve">CAPITAL </w:t>
      </w:r>
      <w:r w:rsidR="0061434B" w:rsidRPr="0061434B">
        <w:rPr>
          <w:rFonts w:ascii="Times New Roman" w:eastAsia="Times New Roman" w:hAnsi="Times New Roman" w:cs="Times New Roman"/>
          <w:sz w:val="27"/>
          <w:szCs w:val="27"/>
          <w:lang w:val="fr-CH" w:eastAsia="en-GB"/>
        </w:rPr>
        <w:t>HUMA</w:t>
      </w:r>
      <w:r w:rsidR="0033144A">
        <w:rPr>
          <w:rFonts w:ascii="Times New Roman" w:eastAsia="Times New Roman" w:hAnsi="Times New Roman" w:cs="Times New Roman"/>
          <w:sz w:val="27"/>
          <w:szCs w:val="27"/>
          <w:lang w:val="fr-CH" w:eastAsia="en-GB"/>
        </w:rPr>
        <w:t>I</w:t>
      </w:r>
      <w:r w:rsidR="0061434B" w:rsidRPr="0061434B">
        <w:rPr>
          <w:rFonts w:ascii="Times New Roman" w:eastAsia="Times New Roman" w:hAnsi="Times New Roman" w:cs="Times New Roman"/>
          <w:sz w:val="27"/>
          <w:szCs w:val="27"/>
          <w:lang w:val="fr-CH" w:eastAsia="en-GB"/>
        </w:rPr>
        <w:t xml:space="preserve">N </w:t>
      </w:r>
      <w:r w:rsidR="0033144A">
        <w:rPr>
          <w:rFonts w:ascii="Times New Roman" w:eastAsia="Times New Roman" w:hAnsi="Times New Roman" w:cs="Times New Roman"/>
          <w:sz w:val="27"/>
          <w:szCs w:val="27"/>
          <w:lang w:val="fr-CH" w:eastAsia="en-GB"/>
        </w:rPr>
        <w:t xml:space="preserve">ET AUTONOMISATION DES FILLES EN </w:t>
      </w:r>
      <w:r w:rsidR="0061434B" w:rsidRPr="0061434B">
        <w:rPr>
          <w:rFonts w:ascii="Times New Roman" w:eastAsia="Times New Roman" w:hAnsi="Times New Roman" w:cs="Times New Roman"/>
          <w:sz w:val="27"/>
          <w:szCs w:val="27"/>
          <w:lang w:val="fr-CH" w:eastAsia="en-GB"/>
        </w:rPr>
        <w:t>RÉPUBLIQUE CENTRAFRICAINE (</w:t>
      </w:r>
      <w:r w:rsidR="0033144A">
        <w:rPr>
          <w:rFonts w:ascii="Times New Roman" w:eastAsia="Times New Roman" w:hAnsi="Times New Roman" w:cs="Times New Roman"/>
          <w:sz w:val="27"/>
          <w:szCs w:val="27"/>
          <w:lang w:val="fr-CH" w:eastAsia="en-GB"/>
        </w:rPr>
        <w:t xml:space="preserve">PROJET </w:t>
      </w:r>
      <w:r w:rsidR="0061434B" w:rsidRPr="0061434B">
        <w:rPr>
          <w:rFonts w:ascii="Times New Roman" w:eastAsia="Times New Roman" w:hAnsi="Times New Roman" w:cs="Times New Roman"/>
          <w:sz w:val="27"/>
          <w:szCs w:val="27"/>
          <w:lang w:val="fr-CH" w:eastAsia="en-GB"/>
        </w:rPr>
        <w:t>MAÏNGO)</w:t>
      </w:r>
    </w:p>
    <w:p w14:paraId="3783490C" w14:textId="77777777" w:rsidR="00222F49" w:rsidRPr="0061434B" w:rsidRDefault="00222F49" w:rsidP="001F2A14">
      <w:pPr>
        <w:jc w:val="center"/>
        <w:rPr>
          <w:rFonts w:ascii="Times New Roman" w:hAnsi="Times New Roman" w:cs="Times New Roman"/>
          <w:lang w:val="fr-CH"/>
        </w:rPr>
      </w:pPr>
    </w:p>
    <w:p w14:paraId="7F53C547" w14:textId="1F10397F" w:rsidR="001F2A14" w:rsidRPr="002E0827" w:rsidRDefault="001F2A14" w:rsidP="001F2A14">
      <w:pPr>
        <w:jc w:val="center"/>
        <w:rPr>
          <w:rFonts w:ascii="Times New Roman" w:eastAsia="Times New Roman" w:hAnsi="Times New Roman" w:cs="Times New Roman"/>
          <w:lang w:val="fr-CH" w:eastAsia="en-GB"/>
        </w:rPr>
      </w:pPr>
      <w:r w:rsidRPr="002E0827">
        <w:rPr>
          <w:rFonts w:ascii="Times New Roman" w:eastAsia="Times New Roman" w:hAnsi="Times New Roman" w:cs="Times New Roman"/>
          <w:lang w:val="fr-CH" w:eastAsia="en-GB"/>
        </w:rPr>
        <w:t>N</w:t>
      </w:r>
      <w:r w:rsidR="003228D1" w:rsidRPr="002E0827">
        <w:rPr>
          <w:rFonts w:ascii="Times New Roman" w:eastAsia="Times New Roman" w:hAnsi="Times New Roman" w:cs="Times New Roman"/>
          <w:lang w:val="fr-CH" w:eastAsia="en-GB"/>
        </w:rPr>
        <w:t>o</w:t>
      </w:r>
      <w:r w:rsidRPr="002E0827">
        <w:rPr>
          <w:rFonts w:ascii="Times New Roman" w:eastAsia="Times New Roman" w:hAnsi="Times New Roman" w:cs="Times New Roman"/>
          <w:lang w:val="fr-CH" w:eastAsia="en-GB"/>
        </w:rPr>
        <w:t xml:space="preserve"> de Projet (</w:t>
      </w:r>
      <w:r w:rsidR="00222F49">
        <w:rPr>
          <w:rFonts w:ascii="Times New Roman" w:eastAsia="Times New Roman" w:hAnsi="Times New Roman" w:cs="Times New Roman"/>
          <w:lang w:val="fr-CH" w:eastAsia="en-GB"/>
        </w:rPr>
        <w:t>P171158</w:t>
      </w:r>
      <w:r w:rsidRPr="002E0827">
        <w:rPr>
          <w:rFonts w:ascii="Times New Roman" w:eastAsia="Times New Roman" w:hAnsi="Times New Roman" w:cs="Times New Roman"/>
          <w:lang w:val="fr-CH" w:eastAsia="en-GB"/>
        </w:rPr>
        <w:t>)</w:t>
      </w:r>
    </w:p>
    <w:p w14:paraId="77E73A5E" w14:textId="77777777" w:rsidR="00616C21" w:rsidRPr="002E0827" w:rsidRDefault="00616C21">
      <w:pPr>
        <w:rPr>
          <w:rFonts w:ascii="Times New Roman" w:hAnsi="Times New Roman" w:cs="Times New Roman"/>
          <w:lang w:val="fr-CH"/>
        </w:rPr>
      </w:pPr>
    </w:p>
    <w:p w14:paraId="19B934B0" w14:textId="39526205" w:rsidR="00616C21" w:rsidRPr="002E0827" w:rsidRDefault="00616C21">
      <w:pPr>
        <w:rPr>
          <w:rFonts w:ascii="Times New Roman" w:hAnsi="Times New Roman" w:cs="Times New Roman"/>
          <w:lang w:val="fr-CH"/>
        </w:rPr>
      </w:pPr>
    </w:p>
    <w:p w14:paraId="28873D06" w14:textId="62073BFA" w:rsidR="003228D1" w:rsidRPr="002E0827" w:rsidRDefault="003228D1">
      <w:pPr>
        <w:rPr>
          <w:rFonts w:ascii="Times New Roman" w:hAnsi="Times New Roman" w:cs="Times New Roman"/>
          <w:lang w:val="fr-CH"/>
        </w:rPr>
      </w:pPr>
    </w:p>
    <w:p w14:paraId="4A94D2D7" w14:textId="4A6966F5" w:rsidR="003228D1" w:rsidRPr="002E0827" w:rsidRDefault="003228D1">
      <w:pPr>
        <w:rPr>
          <w:rFonts w:ascii="Times New Roman" w:hAnsi="Times New Roman" w:cs="Times New Roman"/>
          <w:lang w:val="fr-CH"/>
        </w:rPr>
      </w:pPr>
    </w:p>
    <w:p w14:paraId="489FB193" w14:textId="316C35CF" w:rsidR="003228D1" w:rsidRPr="002E0827" w:rsidRDefault="003228D1">
      <w:pPr>
        <w:rPr>
          <w:rFonts w:ascii="Times New Roman" w:hAnsi="Times New Roman" w:cs="Times New Roman"/>
          <w:lang w:val="fr-CH"/>
        </w:rPr>
      </w:pPr>
    </w:p>
    <w:p w14:paraId="1F592523" w14:textId="39F26883" w:rsidR="003228D1" w:rsidRPr="002E0827" w:rsidRDefault="003228D1">
      <w:pPr>
        <w:rPr>
          <w:rFonts w:ascii="Times New Roman" w:hAnsi="Times New Roman" w:cs="Times New Roman"/>
          <w:lang w:val="fr-CH"/>
        </w:rPr>
      </w:pPr>
    </w:p>
    <w:p w14:paraId="23A0374B" w14:textId="77777777" w:rsidR="003228D1" w:rsidRPr="002E0827" w:rsidRDefault="003228D1">
      <w:pPr>
        <w:rPr>
          <w:rFonts w:ascii="Times New Roman" w:hAnsi="Times New Roman" w:cs="Times New Roman"/>
          <w:lang w:val="fr-CH"/>
        </w:rPr>
      </w:pPr>
    </w:p>
    <w:p w14:paraId="4F82A6EF" w14:textId="50D6973C" w:rsidR="003228D1" w:rsidRPr="002E0827" w:rsidRDefault="003228D1">
      <w:pPr>
        <w:rPr>
          <w:rFonts w:ascii="Times New Roman" w:hAnsi="Times New Roman" w:cs="Times New Roman"/>
          <w:lang w:val="fr-CH"/>
        </w:rPr>
      </w:pPr>
      <w:r w:rsidRPr="002E0827">
        <w:rPr>
          <w:rFonts w:ascii="Times New Roman" w:hAnsi="Times New Roman" w:cs="Times New Roman"/>
          <w:b/>
          <w:bCs/>
          <w:noProof/>
          <w:sz w:val="28"/>
          <w:szCs w:val="28"/>
        </w:rPr>
        <mc:AlternateContent>
          <mc:Choice Requires="wps">
            <w:drawing>
              <wp:anchor distT="0" distB="0" distL="114300" distR="114300" simplePos="0" relativeHeight="251658240" behindDoc="0" locked="0" layoutInCell="1" allowOverlap="1" wp14:anchorId="1E4FC71A" wp14:editId="63025A0E">
                <wp:simplePos x="0" y="0"/>
                <wp:positionH relativeFrom="margin">
                  <wp:align>center</wp:align>
                </wp:positionH>
                <wp:positionV relativeFrom="paragraph">
                  <wp:posOffset>90170</wp:posOffset>
                </wp:positionV>
                <wp:extent cx="3155950" cy="1403350"/>
                <wp:effectExtent l="0" t="0" r="25400" b="25400"/>
                <wp:wrapNone/>
                <wp:docPr id="13" name="Frame 13"/>
                <wp:cNvGraphicFramePr/>
                <a:graphic xmlns:a="http://schemas.openxmlformats.org/drawingml/2006/main">
                  <a:graphicData uri="http://schemas.microsoft.com/office/word/2010/wordprocessingShape">
                    <wps:wsp>
                      <wps:cNvSpPr/>
                      <wps:spPr>
                        <a:xfrm>
                          <a:off x="0" y="0"/>
                          <a:ext cx="3155950" cy="1403350"/>
                        </a:xfrm>
                        <a:prstGeom prst="frame">
                          <a:avLst>
                            <a:gd name="adj1" fmla="val 3543"/>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7D356" id="Frame 13" o:spid="_x0000_s1026" style="position:absolute;margin-left:0;margin-top:7.1pt;width:248.5pt;height:11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3155950,140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" path="m,l3155950,r,1403350l,1403350,,xm49721,49721r,1303908l3106229,1353629r,-1303908l49721,49721xe" fillcolor="black [3200]" strokecolor="black [1600]" strokeweight="1pt">
                <v:stroke joinstyle="miter"/>
                <v:path arrowok="t" o:connecttype="custom" o:connectlocs="0,0;3155950,0;3155950,1403350;0,1403350;0,0;49721,49721;49721,1353629;3106229,1353629;3106229,49721;49721,49721" o:connectangles="0,0,0,0,0,0,0,0,0,0"/>
                <w10:wrap anchorx="margin"/>
              </v:shape>
            </w:pict>
          </mc:Fallback>
        </mc:AlternateContent>
      </w:r>
    </w:p>
    <w:p w14:paraId="025847DE" w14:textId="77777777" w:rsidR="00616C21" w:rsidRPr="002E0827" w:rsidRDefault="00616C21">
      <w:pPr>
        <w:rPr>
          <w:rFonts w:ascii="Times New Roman" w:hAnsi="Times New Roman" w:cs="Times New Roman"/>
          <w:lang w:val="fr-CH"/>
        </w:rPr>
      </w:pPr>
    </w:p>
    <w:p w14:paraId="3B05A463" w14:textId="5EFF2B87" w:rsidR="003C2E92" w:rsidRDefault="003C2E92" w:rsidP="006D5E4A">
      <w:pPr>
        <w:jc w:val="center"/>
        <w:rPr>
          <w:rFonts w:ascii="Times New Roman" w:eastAsia="Times New Roman" w:hAnsi="Times New Roman" w:cs="Times New Roman"/>
          <w:b/>
          <w:bCs/>
          <w:sz w:val="28"/>
          <w:szCs w:val="28"/>
          <w:lang w:val="fr-CH" w:eastAsia="en-GB"/>
        </w:rPr>
      </w:pPr>
      <w:r>
        <w:rPr>
          <w:rFonts w:ascii="Times New Roman" w:eastAsia="Times New Roman" w:hAnsi="Times New Roman" w:cs="Times New Roman"/>
          <w:b/>
          <w:bCs/>
          <w:sz w:val="28"/>
          <w:szCs w:val="28"/>
          <w:lang w:val="fr-CH" w:eastAsia="en-GB"/>
        </w:rPr>
        <w:t>Résumé du</w:t>
      </w:r>
    </w:p>
    <w:p w14:paraId="2785A864" w14:textId="5309D38D" w:rsidR="00104297" w:rsidRDefault="00A725DF" w:rsidP="006D5E4A">
      <w:pPr>
        <w:jc w:val="center"/>
        <w:rPr>
          <w:rFonts w:ascii="Times New Roman" w:eastAsia="Times New Roman" w:hAnsi="Times New Roman" w:cs="Times New Roman"/>
          <w:b/>
          <w:bCs/>
          <w:sz w:val="28"/>
          <w:szCs w:val="28"/>
          <w:lang w:val="fr-CH" w:eastAsia="en-GB"/>
        </w:rPr>
      </w:pPr>
      <w:r w:rsidRPr="002E0827">
        <w:rPr>
          <w:rFonts w:ascii="Times New Roman" w:eastAsia="Times New Roman" w:hAnsi="Times New Roman" w:cs="Times New Roman"/>
          <w:b/>
          <w:bCs/>
          <w:sz w:val="28"/>
          <w:szCs w:val="28"/>
          <w:lang w:val="fr-CH" w:eastAsia="en-GB"/>
        </w:rPr>
        <w:t xml:space="preserve">Plan de </w:t>
      </w:r>
      <w:r w:rsidR="001416E0" w:rsidRPr="002E0827">
        <w:rPr>
          <w:rFonts w:ascii="Times New Roman" w:eastAsia="Times New Roman" w:hAnsi="Times New Roman" w:cs="Times New Roman"/>
          <w:b/>
          <w:bCs/>
          <w:sz w:val="28"/>
          <w:szCs w:val="28"/>
          <w:lang w:val="fr-CH" w:eastAsia="en-GB"/>
        </w:rPr>
        <w:t xml:space="preserve">Gestion de la </w:t>
      </w:r>
      <w:r w:rsidR="00C77A35" w:rsidRPr="002E0827">
        <w:rPr>
          <w:rFonts w:ascii="Times New Roman" w:eastAsia="Times New Roman" w:hAnsi="Times New Roman" w:cs="Times New Roman"/>
          <w:b/>
          <w:bCs/>
          <w:sz w:val="28"/>
          <w:szCs w:val="28"/>
          <w:lang w:val="fr-CH" w:eastAsia="en-GB"/>
        </w:rPr>
        <w:t>Sécurité</w:t>
      </w:r>
      <w:r w:rsidR="00C51409" w:rsidRPr="002E0827">
        <w:rPr>
          <w:rFonts w:ascii="Times New Roman" w:eastAsia="Times New Roman" w:hAnsi="Times New Roman" w:cs="Times New Roman"/>
          <w:b/>
          <w:bCs/>
          <w:sz w:val="28"/>
          <w:szCs w:val="28"/>
          <w:lang w:val="fr-CH" w:eastAsia="en-GB"/>
        </w:rPr>
        <w:t xml:space="preserve"> </w:t>
      </w:r>
    </w:p>
    <w:p w14:paraId="057D7CA8" w14:textId="6CEEFDA6" w:rsidR="00A725DF" w:rsidRPr="002E0827" w:rsidRDefault="00C51409" w:rsidP="006D5E4A">
      <w:pPr>
        <w:jc w:val="center"/>
        <w:rPr>
          <w:rFonts w:ascii="Times New Roman" w:eastAsia="Times New Roman" w:hAnsi="Times New Roman" w:cs="Times New Roman"/>
          <w:b/>
          <w:bCs/>
          <w:sz w:val="28"/>
          <w:szCs w:val="28"/>
          <w:lang w:val="fr-CH" w:eastAsia="en-GB"/>
        </w:rPr>
      </w:pPr>
      <w:r w:rsidRPr="002E0827">
        <w:rPr>
          <w:rFonts w:ascii="Times New Roman" w:eastAsia="Times New Roman" w:hAnsi="Times New Roman" w:cs="Times New Roman"/>
          <w:b/>
          <w:bCs/>
          <w:sz w:val="28"/>
          <w:szCs w:val="28"/>
          <w:lang w:val="fr-CH" w:eastAsia="en-GB"/>
        </w:rPr>
        <w:t>(PGS)</w:t>
      </w:r>
    </w:p>
    <w:p w14:paraId="2BED3F28" w14:textId="680670E2" w:rsidR="00A00652" w:rsidRDefault="00A00652" w:rsidP="006D5E4A">
      <w:pPr>
        <w:jc w:val="center"/>
        <w:rPr>
          <w:rFonts w:ascii="Times New Roman" w:hAnsi="Times New Roman" w:cs="Times New Roman"/>
          <w:lang w:val="fr-CH"/>
        </w:rPr>
      </w:pPr>
    </w:p>
    <w:p w14:paraId="5A256ADD" w14:textId="222B2BDE" w:rsidR="006B482B" w:rsidRDefault="006B482B" w:rsidP="006D5E4A">
      <w:pPr>
        <w:jc w:val="center"/>
        <w:rPr>
          <w:rFonts w:ascii="Times New Roman" w:hAnsi="Times New Roman" w:cs="Times New Roman"/>
          <w:lang w:val="fr-CH"/>
        </w:rPr>
      </w:pPr>
      <w:r>
        <w:rPr>
          <w:rFonts w:ascii="Times New Roman" w:hAnsi="Times New Roman" w:cs="Times New Roman"/>
          <w:lang w:val="fr-CH"/>
        </w:rPr>
        <w:t>Ma</w:t>
      </w:r>
      <w:r w:rsidR="00BD29A9">
        <w:rPr>
          <w:rFonts w:ascii="Times New Roman" w:hAnsi="Times New Roman" w:cs="Times New Roman"/>
          <w:lang w:val="fr-CH"/>
        </w:rPr>
        <w:t>i</w:t>
      </w:r>
      <w:r>
        <w:rPr>
          <w:rFonts w:ascii="Times New Roman" w:hAnsi="Times New Roman" w:cs="Times New Roman"/>
          <w:lang w:val="fr-CH"/>
        </w:rPr>
        <w:t xml:space="preserve"> 2021</w:t>
      </w:r>
    </w:p>
    <w:p w14:paraId="686DCF8E" w14:textId="77777777" w:rsidR="006B482B" w:rsidRPr="002E0827" w:rsidRDefault="006B482B" w:rsidP="006B482B">
      <w:pPr>
        <w:rPr>
          <w:rFonts w:ascii="Times New Roman" w:hAnsi="Times New Roman" w:cs="Times New Roman"/>
          <w:lang w:val="fr-CH"/>
        </w:rPr>
      </w:pPr>
    </w:p>
    <w:p w14:paraId="1D517963" w14:textId="1E20240C" w:rsidR="00A347FE" w:rsidRPr="002E0827" w:rsidRDefault="00A347FE" w:rsidP="006D5E4A">
      <w:pPr>
        <w:jc w:val="center"/>
        <w:rPr>
          <w:rFonts w:ascii="Times New Roman" w:eastAsia="Times New Roman" w:hAnsi="Times New Roman" w:cs="Times New Roman"/>
          <w:lang w:val="fr-CH" w:eastAsia="en-GB"/>
        </w:rPr>
      </w:pPr>
    </w:p>
    <w:p w14:paraId="5EFBA927" w14:textId="77952AA3" w:rsidR="00A00652" w:rsidRPr="002E0827" w:rsidRDefault="00A00652" w:rsidP="006D5E4A">
      <w:pPr>
        <w:jc w:val="center"/>
        <w:rPr>
          <w:rFonts w:ascii="Times New Roman" w:hAnsi="Times New Roman" w:cs="Times New Roman"/>
          <w:lang w:val="fr-CH"/>
        </w:rPr>
      </w:pPr>
    </w:p>
    <w:p w14:paraId="62030EAC" w14:textId="2A56C490" w:rsidR="00700322" w:rsidRPr="002E0827" w:rsidRDefault="00700322" w:rsidP="006D5E4A">
      <w:pPr>
        <w:jc w:val="center"/>
        <w:rPr>
          <w:rFonts w:ascii="Times New Roman" w:hAnsi="Times New Roman" w:cs="Times New Roman"/>
          <w:lang w:val="fr-CH"/>
        </w:rPr>
      </w:pPr>
    </w:p>
    <w:p w14:paraId="5DBF8740" w14:textId="17B49245" w:rsidR="00700322" w:rsidRPr="002E0827" w:rsidRDefault="00700322" w:rsidP="006D5E4A">
      <w:pPr>
        <w:jc w:val="center"/>
        <w:rPr>
          <w:rFonts w:ascii="Times New Roman" w:hAnsi="Times New Roman" w:cs="Times New Roman"/>
          <w:lang w:val="fr-CH"/>
        </w:rPr>
      </w:pPr>
    </w:p>
    <w:p w14:paraId="43C026F5" w14:textId="77777777" w:rsidR="003228D1" w:rsidRPr="002E0827" w:rsidRDefault="003228D1" w:rsidP="006D5E4A">
      <w:pPr>
        <w:jc w:val="center"/>
        <w:rPr>
          <w:rFonts w:ascii="Times New Roman" w:hAnsi="Times New Roman" w:cs="Times New Roman"/>
          <w:lang w:val="fr-CH"/>
        </w:rPr>
      </w:pPr>
    </w:p>
    <w:p w14:paraId="3DC569CC" w14:textId="77777777" w:rsidR="003228D1" w:rsidRPr="002E0827" w:rsidRDefault="003228D1" w:rsidP="006D5E4A">
      <w:pPr>
        <w:jc w:val="center"/>
        <w:rPr>
          <w:rFonts w:ascii="Times New Roman" w:hAnsi="Times New Roman" w:cs="Times New Roman"/>
          <w:lang w:val="fr-CH"/>
        </w:rPr>
      </w:pPr>
    </w:p>
    <w:p w14:paraId="3E7EAA22" w14:textId="77777777" w:rsidR="003228D1" w:rsidRPr="002E0827" w:rsidRDefault="003228D1" w:rsidP="006D5E4A">
      <w:pPr>
        <w:jc w:val="center"/>
        <w:rPr>
          <w:rFonts w:ascii="Times New Roman" w:hAnsi="Times New Roman" w:cs="Times New Roman"/>
          <w:lang w:val="fr-CH"/>
        </w:rPr>
      </w:pPr>
    </w:p>
    <w:p w14:paraId="037AE47F" w14:textId="77777777" w:rsidR="003228D1" w:rsidRPr="002E0827" w:rsidRDefault="003228D1" w:rsidP="006D5E4A">
      <w:pPr>
        <w:jc w:val="center"/>
        <w:rPr>
          <w:rFonts w:ascii="Times New Roman" w:hAnsi="Times New Roman" w:cs="Times New Roman"/>
          <w:lang w:val="fr-CH"/>
        </w:rPr>
      </w:pPr>
    </w:p>
    <w:p w14:paraId="3DDF4477" w14:textId="77777777" w:rsidR="003228D1" w:rsidRPr="002E0827" w:rsidRDefault="003228D1" w:rsidP="006D5E4A">
      <w:pPr>
        <w:jc w:val="center"/>
        <w:rPr>
          <w:rFonts w:ascii="Times New Roman" w:hAnsi="Times New Roman" w:cs="Times New Roman"/>
          <w:lang w:val="fr-CH"/>
        </w:rPr>
      </w:pPr>
    </w:p>
    <w:p w14:paraId="4B144165" w14:textId="26DCE976" w:rsidR="003E2843" w:rsidRDefault="00D31804" w:rsidP="0061434B">
      <w:pPr>
        <w:jc w:val="center"/>
        <w:rPr>
          <w:rFonts w:ascii="Times New Roman" w:eastAsia="Times New Roman" w:hAnsi="Times New Roman" w:cs="Times New Roman"/>
          <w:lang w:val="fr-CH" w:eastAsia="en-GB"/>
        </w:rPr>
      </w:pPr>
      <w:r>
        <w:rPr>
          <w:rFonts w:ascii="Times New Roman" w:eastAsia="Times New Roman" w:hAnsi="Times New Roman" w:cs="Times New Roman"/>
          <w:lang w:val="fr-CH" w:eastAsia="en-GB"/>
        </w:rPr>
        <w:t>L’Uni</w:t>
      </w:r>
      <w:r>
        <w:rPr>
          <w:rFonts w:ascii="Times New Roman" w:eastAsia="Times New Roman" w:hAnsi="Times New Roman" w:cs="Times New Roman"/>
          <w:lang w:val="fr-FR" w:eastAsia="en-GB"/>
        </w:rPr>
        <w:t>té de Coordination</w:t>
      </w:r>
      <w:r w:rsidR="0061434B" w:rsidRPr="0061434B">
        <w:rPr>
          <w:rFonts w:ascii="Times New Roman" w:eastAsia="Times New Roman" w:hAnsi="Times New Roman" w:cs="Times New Roman"/>
          <w:lang w:val="fr-CH" w:eastAsia="en-GB"/>
        </w:rPr>
        <w:t xml:space="preserve"> du </w:t>
      </w:r>
      <w:r w:rsidR="003E2843">
        <w:rPr>
          <w:rFonts w:ascii="Times New Roman" w:eastAsia="Times New Roman" w:hAnsi="Times New Roman" w:cs="Times New Roman"/>
          <w:lang w:val="fr-CH" w:eastAsia="en-GB"/>
        </w:rPr>
        <w:t xml:space="preserve">Projet Capital </w:t>
      </w:r>
      <w:r w:rsidR="0061434B" w:rsidRPr="0061434B">
        <w:rPr>
          <w:rFonts w:ascii="Times New Roman" w:eastAsia="Times New Roman" w:hAnsi="Times New Roman" w:cs="Times New Roman"/>
          <w:lang w:val="fr-CH" w:eastAsia="en-GB"/>
        </w:rPr>
        <w:t>Huma</w:t>
      </w:r>
      <w:r w:rsidR="003E2843">
        <w:rPr>
          <w:rFonts w:ascii="Times New Roman" w:eastAsia="Times New Roman" w:hAnsi="Times New Roman" w:cs="Times New Roman"/>
          <w:lang w:val="fr-CH" w:eastAsia="en-GB"/>
        </w:rPr>
        <w:t>i</w:t>
      </w:r>
      <w:r w:rsidR="0061434B" w:rsidRPr="0061434B">
        <w:rPr>
          <w:rFonts w:ascii="Times New Roman" w:eastAsia="Times New Roman" w:hAnsi="Times New Roman" w:cs="Times New Roman"/>
          <w:lang w:val="fr-CH" w:eastAsia="en-GB"/>
        </w:rPr>
        <w:t xml:space="preserve">n </w:t>
      </w:r>
      <w:r w:rsidR="003E2843">
        <w:rPr>
          <w:rFonts w:ascii="Times New Roman" w:eastAsia="Times New Roman" w:hAnsi="Times New Roman" w:cs="Times New Roman"/>
          <w:lang w:val="fr-CH" w:eastAsia="en-GB"/>
        </w:rPr>
        <w:t xml:space="preserve">et Autonomisation des Filles </w:t>
      </w:r>
      <w:r w:rsidR="0061434B" w:rsidRPr="0061434B">
        <w:rPr>
          <w:rFonts w:ascii="Times New Roman" w:eastAsia="Times New Roman" w:hAnsi="Times New Roman" w:cs="Times New Roman"/>
          <w:lang w:val="fr-CH" w:eastAsia="en-GB"/>
        </w:rPr>
        <w:t xml:space="preserve"> </w:t>
      </w:r>
    </w:p>
    <w:p w14:paraId="1AF529A5" w14:textId="5DB6DB9F" w:rsidR="0061434B" w:rsidRPr="0061434B" w:rsidRDefault="0061434B" w:rsidP="0061434B">
      <w:pPr>
        <w:jc w:val="center"/>
        <w:rPr>
          <w:rFonts w:ascii="Times New Roman" w:eastAsia="Times New Roman" w:hAnsi="Times New Roman" w:cs="Times New Roman"/>
          <w:lang w:val="fr-CH" w:eastAsia="en-GB"/>
        </w:rPr>
      </w:pPr>
      <w:r w:rsidRPr="0061434B">
        <w:rPr>
          <w:rFonts w:ascii="Times New Roman" w:eastAsia="Times New Roman" w:hAnsi="Times New Roman" w:cs="Times New Roman"/>
          <w:lang w:val="fr-CH" w:eastAsia="en-GB"/>
        </w:rPr>
        <w:t>(</w:t>
      </w:r>
      <w:r w:rsidR="003E2843">
        <w:rPr>
          <w:rFonts w:ascii="Times New Roman" w:eastAsia="Times New Roman" w:hAnsi="Times New Roman" w:cs="Times New Roman"/>
          <w:lang w:val="fr-CH" w:eastAsia="en-GB"/>
        </w:rPr>
        <w:t xml:space="preserve">Projet </w:t>
      </w:r>
      <w:proofErr w:type="spellStart"/>
      <w:r w:rsidRPr="0061434B">
        <w:rPr>
          <w:rFonts w:ascii="Times New Roman" w:eastAsia="Times New Roman" w:hAnsi="Times New Roman" w:cs="Times New Roman"/>
          <w:lang w:val="fr-CH" w:eastAsia="en-GB"/>
        </w:rPr>
        <w:t>Maïngo</w:t>
      </w:r>
      <w:proofErr w:type="spellEnd"/>
      <w:r w:rsidRPr="0061434B">
        <w:rPr>
          <w:rFonts w:ascii="Times New Roman" w:eastAsia="Times New Roman" w:hAnsi="Times New Roman" w:cs="Times New Roman"/>
          <w:lang w:val="fr-CH" w:eastAsia="en-GB"/>
        </w:rPr>
        <w:t xml:space="preserve">) </w:t>
      </w:r>
    </w:p>
    <w:p w14:paraId="3227D3C6" w14:textId="3CF4110C" w:rsidR="007056FC" w:rsidRPr="002E0827" w:rsidRDefault="007056FC" w:rsidP="006D5E4A">
      <w:pPr>
        <w:jc w:val="center"/>
        <w:rPr>
          <w:rFonts w:ascii="Times New Roman" w:hAnsi="Times New Roman" w:cs="Times New Roman"/>
          <w:sz w:val="26"/>
          <w:szCs w:val="26"/>
          <w:lang w:val="fr-CH"/>
        </w:rPr>
      </w:pPr>
    </w:p>
    <w:p w14:paraId="27FF1880" w14:textId="77777777" w:rsidR="007056FC" w:rsidRPr="002E0827" w:rsidRDefault="007056FC" w:rsidP="006D5E4A">
      <w:pPr>
        <w:jc w:val="center"/>
        <w:rPr>
          <w:rFonts w:ascii="Times New Roman" w:hAnsi="Times New Roman" w:cs="Times New Roman"/>
          <w:lang w:val="fr-CH"/>
        </w:rPr>
      </w:pPr>
    </w:p>
    <w:p w14:paraId="52E67CDF" w14:textId="77777777" w:rsidR="00D31DB0" w:rsidRDefault="00D31DB0">
      <w:pPr>
        <w:rPr>
          <w:rFonts w:ascii="Times New Roman" w:hAnsi="Times New Roman" w:cs="Times New Roman"/>
          <w:lang w:val="fr-CH"/>
        </w:rPr>
      </w:pPr>
    </w:p>
    <w:p w14:paraId="1CE27504" w14:textId="77777777" w:rsidR="00D31DB0" w:rsidRDefault="00D31DB0">
      <w:pPr>
        <w:rPr>
          <w:rFonts w:ascii="Times New Roman" w:hAnsi="Times New Roman" w:cs="Times New Roman"/>
          <w:lang w:val="fr-CH"/>
        </w:rPr>
      </w:pPr>
    </w:p>
    <w:p w14:paraId="15D742F5" w14:textId="77777777" w:rsidR="00D31DB0" w:rsidRDefault="00D31DB0">
      <w:pPr>
        <w:rPr>
          <w:rFonts w:ascii="Times New Roman" w:hAnsi="Times New Roman" w:cs="Times New Roman"/>
          <w:lang w:val="fr-CH"/>
        </w:rPr>
      </w:pPr>
    </w:p>
    <w:p w14:paraId="2351BFED" w14:textId="77777777" w:rsidR="00D31DB0" w:rsidRDefault="00D31DB0">
      <w:pPr>
        <w:rPr>
          <w:rFonts w:ascii="Times New Roman" w:hAnsi="Times New Roman" w:cs="Times New Roman"/>
          <w:lang w:val="fr-CH"/>
        </w:rPr>
      </w:pPr>
    </w:p>
    <w:p w14:paraId="3A19CA0A" w14:textId="77777777" w:rsidR="00D31DB0" w:rsidRDefault="00D31DB0">
      <w:pPr>
        <w:rPr>
          <w:rFonts w:ascii="Times New Roman" w:hAnsi="Times New Roman" w:cs="Times New Roman"/>
          <w:lang w:val="fr-CH"/>
        </w:rPr>
      </w:pPr>
    </w:p>
    <w:p w14:paraId="6FAA9A17" w14:textId="77777777" w:rsidR="00D31DB0" w:rsidRDefault="00D31DB0">
      <w:pPr>
        <w:rPr>
          <w:rFonts w:ascii="Times New Roman" w:hAnsi="Times New Roman" w:cs="Times New Roman"/>
          <w:lang w:val="fr-CH"/>
        </w:rPr>
      </w:pPr>
    </w:p>
    <w:p w14:paraId="67171A6B" w14:textId="77777777" w:rsidR="00D31DB0" w:rsidRDefault="00D31DB0">
      <w:pPr>
        <w:rPr>
          <w:rFonts w:ascii="Times New Roman" w:hAnsi="Times New Roman" w:cs="Times New Roman"/>
          <w:lang w:val="fr-CH"/>
        </w:rPr>
      </w:pPr>
    </w:p>
    <w:p w14:paraId="27E2E99D" w14:textId="77777777" w:rsidR="00D31DB0" w:rsidRDefault="00D31DB0">
      <w:pPr>
        <w:rPr>
          <w:rFonts w:ascii="Times New Roman" w:hAnsi="Times New Roman" w:cs="Times New Roman"/>
          <w:lang w:val="fr-CH"/>
        </w:rPr>
      </w:pPr>
    </w:p>
    <w:p w14:paraId="07DF6193" w14:textId="77777777" w:rsidR="00D31DB0" w:rsidRDefault="00D31DB0">
      <w:pPr>
        <w:rPr>
          <w:rFonts w:ascii="Times New Roman" w:hAnsi="Times New Roman" w:cs="Times New Roman"/>
          <w:lang w:val="fr-CH"/>
        </w:rPr>
      </w:pPr>
    </w:p>
    <w:p w14:paraId="1543119B" w14:textId="295CAE82" w:rsidR="00D31DB0" w:rsidRDefault="00D31DB0">
      <w:pPr>
        <w:rPr>
          <w:rFonts w:ascii="Times New Roman" w:hAnsi="Times New Roman" w:cs="Times New Roman"/>
          <w:lang w:val="fr-CH"/>
        </w:rPr>
      </w:pPr>
    </w:p>
    <w:p w14:paraId="639F6E97" w14:textId="72AC2DF4" w:rsidR="0086788E" w:rsidRDefault="0086788E">
      <w:pPr>
        <w:rPr>
          <w:rFonts w:ascii="Times New Roman" w:hAnsi="Times New Roman" w:cs="Times New Roman"/>
          <w:lang w:val="fr-CH"/>
        </w:rPr>
      </w:pPr>
    </w:p>
    <w:p w14:paraId="526BDE3A" w14:textId="1ECCFD64" w:rsidR="0086788E" w:rsidRDefault="0086788E">
      <w:pPr>
        <w:rPr>
          <w:rFonts w:ascii="Times New Roman" w:hAnsi="Times New Roman" w:cs="Times New Roman"/>
          <w:lang w:val="fr-CH"/>
        </w:rPr>
      </w:pPr>
    </w:p>
    <w:p w14:paraId="3921B9D9" w14:textId="77777777" w:rsidR="0086788E" w:rsidRDefault="0086788E">
      <w:pPr>
        <w:rPr>
          <w:rFonts w:ascii="Times New Roman" w:hAnsi="Times New Roman" w:cs="Times New Roman"/>
          <w:lang w:val="fr-CH"/>
        </w:rPr>
      </w:pPr>
    </w:p>
    <w:p w14:paraId="690D93A8" w14:textId="3FB6E8E1" w:rsidR="00700322" w:rsidRPr="002E0827" w:rsidRDefault="00700322">
      <w:pPr>
        <w:rPr>
          <w:rFonts w:ascii="Times New Roman" w:hAnsi="Times New Roman" w:cs="Times New Roman"/>
          <w:lang w:val="fr-CH"/>
        </w:rPr>
      </w:pPr>
    </w:p>
    <w:p w14:paraId="3FADCC01" w14:textId="067DACBE" w:rsidR="002B5202" w:rsidRDefault="002B5202">
      <w:pPr>
        <w:rPr>
          <w:rFonts w:ascii="Times New Roman" w:hAnsi="Times New Roman" w:cs="Times New Roman"/>
          <w:lang w:val="fr-CH"/>
        </w:rPr>
      </w:pPr>
    </w:p>
    <w:p w14:paraId="4C55F060" w14:textId="03F52970" w:rsidR="002B5202" w:rsidRPr="002B5202" w:rsidRDefault="002B5202" w:rsidP="002B5202">
      <w:pPr>
        <w:spacing w:after="160" w:line="259" w:lineRule="auto"/>
        <w:jc w:val="center"/>
        <w:rPr>
          <w:rFonts w:ascii="Times New Roman" w:eastAsia="Calibri" w:hAnsi="Times New Roman" w:cs="Times New Roman"/>
          <w:b/>
          <w:bCs/>
          <w:iCs/>
          <w:sz w:val="22"/>
          <w:szCs w:val="22"/>
          <w:lang w:val="fr-FR"/>
        </w:rPr>
      </w:pPr>
      <w:r w:rsidRPr="002B5202">
        <w:rPr>
          <w:rFonts w:ascii="Times New Roman" w:eastAsia="Calibri" w:hAnsi="Times New Roman" w:cs="Times New Roman"/>
          <w:b/>
          <w:bCs/>
          <w:iCs/>
          <w:sz w:val="22"/>
          <w:szCs w:val="22"/>
          <w:lang w:val="fr-FR"/>
        </w:rPr>
        <w:t>RESUME EXECUTIF DU PLAN DE GESTION DE LA SECURITE DU PROJET MAÏNGO (</w:t>
      </w:r>
      <w:r w:rsidR="003C2E92">
        <w:rPr>
          <w:rFonts w:ascii="Times New Roman" w:eastAsia="Calibri" w:hAnsi="Times New Roman" w:cs="Times New Roman"/>
          <w:b/>
          <w:bCs/>
          <w:iCs/>
          <w:sz w:val="22"/>
          <w:szCs w:val="22"/>
          <w:lang w:val="fr-FR"/>
        </w:rPr>
        <w:t>P.</w:t>
      </w:r>
      <w:r w:rsidRPr="002B5202">
        <w:rPr>
          <w:rFonts w:ascii="Times New Roman" w:eastAsia="Calibri" w:hAnsi="Times New Roman" w:cs="Times New Roman"/>
          <w:b/>
          <w:bCs/>
          <w:iCs/>
          <w:sz w:val="22"/>
          <w:szCs w:val="22"/>
          <w:lang w:val="fr-FR"/>
        </w:rPr>
        <w:t>171158).</w:t>
      </w:r>
    </w:p>
    <w:p w14:paraId="17F37542" w14:textId="77777777" w:rsidR="002B5202" w:rsidRPr="002B5202" w:rsidRDefault="002B5202" w:rsidP="002B5202">
      <w:pPr>
        <w:shd w:val="clear" w:color="auto" w:fill="FFFFFF"/>
        <w:spacing w:after="120"/>
        <w:jc w:val="both"/>
        <w:rPr>
          <w:rFonts w:ascii="Times New Roman" w:eastAsia="Calibri" w:hAnsi="Times New Roman" w:cs="Times New Roman"/>
          <w:iCs/>
          <w:lang w:val="fr-FR"/>
        </w:rPr>
      </w:pPr>
      <w:r w:rsidRPr="002B5202">
        <w:rPr>
          <w:rFonts w:ascii="Times New Roman" w:eastAsia="Calibri" w:hAnsi="Times New Roman" w:cs="Times New Roman"/>
          <w:iCs/>
          <w:sz w:val="22"/>
          <w:szCs w:val="22"/>
          <w:lang w:val="fr-FR"/>
        </w:rPr>
        <w:t xml:space="preserve">Dans le cadre de la mise en œuvre des activités du Projet </w:t>
      </w:r>
      <w:proofErr w:type="spellStart"/>
      <w:r w:rsidRPr="002B5202">
        <w:rPr>
          <w:rFonts w:ascii="Times New Roman" w:eastAsia="Calibri" w:hAnsi="Times New Roman" w:cs="Times New Roman"/>
          <w:iCs/>
          <w:sz w:val="22"/>
          <w:szCs w:val="22"/>
          <w:lang w:val="fr-FR"/>
        </w:rPr>
        <w:t>Maïngo</w:t>
      </w:r>
      <w:proofErr w:type="spellEnd"/>
      <w:r w:rsidRPr="002B5202">
        <w:rPr>
          <w:rFonts w:ascii="Times New Roman" w:eastAsia="Calibri" w:hAnsi="Times New Roman" w:cs="Times New Roman"/>
          <w:iCs/>
          <w:sz w:val="22"/>
          <w:szCs w:val="22"/>
          <w:lang w:val="fr-FR"/>
        </w:rPr>
        <w:t>, des instruments environnementaux et sociaux ont été élaborés Le Gouvernement à travers l’Unité de Coordination des Projets (UCP) du Ministère de l’Economie, du Plan et de la Coopération (MEPC) s'engage à répondre de manière adéquate aux exigences de la Banque Mondiale sous son Cadre Environnemental et Social (CES). Outre les aspects environnementaux et sociaux déjà abordés dans d'autres instruments de travail, une évaluation des risques de sécurité découlant du projet a été effectuée et un plan de gestion de la sécurité a été développé pour évaluer, prendre en compte, couvrir et proposer des solutions de mitigation pour la prévention et la réponse aux risques potentiels de sécurité qui pourraient affecter le projet</w:t>
      </w:r>
      <w:r w:rsidRPr="002B5202">
        <w:rPr>
          <w:rFonts w:ascii="Times New Roman" w:eastAsia="Calibri" w:hAnsi="Times New Roman" w:cs="Times New Roman"/>
          <w:iCs/>
          <w:sz w:val="22"/>
          <w:szCs w:val="22"/>
          <w:lang w:val="fr-CH"/>
        </w:rPr>
        <w:t>.</w:t>
      </w:r>
      <w:r w:rsidRPr="002B5202">
        <w:rPr>
          <w:rFonts w:ascii="Times New Roman" w:eastAsia="Calibri" w:hAnsi="Times New Roman" w:cs="Times New Roman"/>
          <w:iCs/>
          <w:lang w:val="fr-FR"/>
        </w:rPr>
        <w:t xml:space="preserve"> </w:t>
      </w:r>
    </w:p>
    <w:p w14:paraId="5FC2AAD7" w14:textId="77777777" w:rsidR="00C265A4" w:rsidRDefault="00C265A4" w:rsidP="00C265A4">
      <w:pPr>
        <w:spacing w:after="160" w:line="259" w:lineRule="auto"/>
        <w:jc w:val="both"/>
        <w:rPr>
          <w:rFonts w:ascii="Times New Roman" w:eastAsia="Calibri" w:hAnsi="Times New Roman" w:cs="Times New Roman"/>
          <w:iCs/>
          <w:color w:val="000000"/>
          <w:sz w:val="22"/>
          <w:szCs w:val="22"/>
          <w:lang w:val="fr-CH"/>
        </w:rPr>
      </w:pPr>
      <w:r w:rsidRPr="002B5202">
        <w:rPr>
          <w:rFonts w:ascii="Times New Roman" w:eastAsia="Calibri" w:hAnsi="Times New Roman" w:cs="Times New Roman"/>
          <w:iCs/>
          <w:color w:val="000000"/>
          <w:sz w:val="22"/>
          <w:szCs w:val="22"/>
          <w:lang w:val="fr-CH"/>
        </w:rPr>
        <w:t xml:space="preserve">Le </w:t>
      </w:r>
      <w:r w:rsidRPr="002B5202">
        <w:rPr>
          <w:rFonts w:ascii="Times New Roman" w:eastAsia="Calibri" w:hAnsi="Times New Roman" w:cs="Times New Roman"/>
          <w:b/>
          <w:bCs/>
          <w:iCs/>
          <w:color w:val="000000"/>
          <w:sz w:val="22"/>
          <w:szCs w:val="22"/>
          <w:lang w:val="fr-CH"/>
        </w:rPr>
        <w:t xml:space="preserve">Projet </w:t>
      </w:r>
      <w:proofErr w:type="spellStart"/>
      <w:r w:rsidRPr="002B5202">
        <w:rPr>
          <w:rFonts w:ascii="Times New Roman" w:eastAsia="Calibri" w:hAnsi="Times New Roman" w:cs="Times New Roman"/>
          <w:b/>
          <w:bCs/>
          <w:iCs/>
          <w:color w:val="000000"/>
          <w:sz w:val="22"/>
          <w:szCs w:val="22"/>
          <w:lang w:val="fr-CH"/>
        </w:rPr>
        <w:t>Maïngo</w:t>
      </w:r>
      <w:proofErr w:type="spellEnd"/>
      <w:r w:rsidRPr="002B5202">
        <w:rPr>
          <w:rFonts w:ascii="Times New Roman" w:eastAsia="Calibri" w:hAnsi="Times New Roman" w:cs="Times New Roman"/>
          <w:iCs/>
          <w:color w:val="000000"/>
          <w:sz w:val="22"/>
          <w:szCs w:val="22"/>
          <w:lang w:val="fr-CH"/>
        </w:rPr>
        <w:t xml:space="preserve">, avec un montant de $50 millions a pour objectif </w:t>
      </w:r>
      <w:r w:rsidRPr="00633395">
        <w:rPr>
          <w:rFonts w:ascii="Times New Roman" w:eastAsia="Calibri" w:hAnsi="Times New Roman" w:cs="Times New Roman"/>
          <w:iCs/>
          <w:color w:val="000000"/>
          <w:sz w:val="22"/>
          <w:szCs w:val="22"/>
          <w:lang w:val="fr-CH"/>
        </w:rPr>
        <w:t>d’améliorer l'accès aux services de santé essentiels, à l'éducation et aux opportunités d'emploi qui autonomisent les femmes et les adolescentes dans les zones ciblées de la République Centrafricaine.</w:t>
      </w:r>
      <w:r>
        <w:rPr>
          <w:rFonts w:ascii="Times New Roman" w:eastAsia="Calibri" w:hAnsi="Times New Roman" w:cs="Times New Roman"/>
          <w:iCs/>
          <w:color w:val="000000"/>
          <w:sz w:val="22"/>
          <w:szCs w:val="22"/>
          <w:lang w:val="fr-CH"/>
        </w:rPr>
        <w:t xml:space="preserve"> </w:t>
      </w:r>
    </w:p>
    <w:p w14:paraId="4A20F609" w14:textId="77777777" w:rsidR="00C265A4" w:rsidRPr="002B5202" w:rsidRDefault="00C265A4" w:rsidP="00C265A4">
      <w:pPr>
        <w:spacing w:after="160" w:line="259" w:lineRule="auto"/>
        <w:jc w:val="both"/>
        <w:rPr>
          <w:rFonts w:ascii="Times New Roman" w:eastAsia="Calibri" w:hAnsi="Times New Roman" w:cs="Times New Roman"/>
          <w:iCs/>
          <w:sz w:val="22"/>
          <w:szCs w:val="22"/>
          <w:lang w:val="fr-CH"/>
        </w:rPr>
      </w:pPr>
      <w:r w:rsidRPr="002B5202">
        <w:rPr>
          <w:rFonts w:ascii="Times New Roman" w:eastAsia="Calibri" w:hAnsi="Times New Roman" w:cs="Times New Roman"/>
          <w:iCs/>
          <w:sz w:val="22"/>
          <w:szCs w:val="22"/>
          <w:lang w:val="fr-CH"/>
        </w:rPr>
        <w:t xml:space="preserve">Le projet </w:t>
      </w:r>
      <w:proofErr w:type="spellStart"/>
      <w:r w:rsidRPr="002B5202">
        <w:rPr>
          <w:rFonts w:ascii="Times New Roman" w:eastAsia="Calibri" w:hAnsi="Times New Roman" w:cs="Times New Roman"/>
          <w:iCs/>
          <w:sz w:val="22"/>
          <w:szCs w:val="22"/>
          <w:lang w:val="fr-CH"/>
        </w:rPr>
        <w:t>Maïngo</w:t>
      </w:r>
      <w:proofErr w:type="spellEnd"/>
      <w:r w:rsidRPr="002B5202">
        <w:rPr>
          <w:rFonts w:ascii="Times New Roman" w:eastAsia="Calibri" w:hAnsi="Times New Roman" w:cs="Times New Roman"/>
          <w:iCs/>
          <w:sz w:val="22"/>
          <w:szCs w:val="22"/>
          <w:lang w:val="fr-CH"/>
        </w:rPr>
        <w:t xml:space="preserve"> a pour but d’intervenir dans </w:t>
      </w:r>
      <w:r>
        <w:rPr>
          <w:rFonts w:ascii="Times New Roman" w:eastAsia="Calibri" w:hAnsi="Times New Roman" w:cs="Times New Roman"/>
          <w:iCs/>
          <w:sz w:val="22"/>
          <w:szCs w:val="22"/>
          <w:lang w:val="fr-CH"/>
        </w:rPr>
        <w:t xml:space="preserve">Bangui et dans </w:t>
      </w:r>
      <w:r w:rsidRPr="002B5202">
        <w:rPr>
          <w:rFonts w:ascii="Times New Roman" w:eastAsia="Calibri" w:hAnsi="Times New Roman" w:cs="Times New Roman"/>
          <w:iCs/>
          <w:sz w:val="22"/>
          <w:szCs w:val="22"/>
          <w:lang w:val="fr-CH"/>
        </w:rPr>
        <w:t>les préfectures</w:t>
      </w:r>
      <w:r w:rsidRPr="003903A4">
        <w:rPr>
          <w:lang w:val="fr-FR"/>
        </w:rPr>
        <w:t xml:space="preserve"> </w:t>
      </w:r>
      <w:r>
        <w:rPr>
          <w:rFonts w:ascii="Times New Roman" w:eastAsia="Calibri" w:hAnsi="Times New Roman" w:cs="Times New Roman"/>
          <w:iCs/>
          <w:sz w:val="22"/>
          <w:szCs w:val="22"/>
          <w:lang w:val="fr-CH"/>
        </w:rPr>
        <w:t>de</w:t>
      </w:r>
      <w:r w:rsidRPr="001D2666">
        <w:rPr>
          <w:rFonts w:ascii="Times New Roman" w:eastAsia="Calibri" w:hAnsi="Times New Roman" w:cs="Times New Roman"/>
          <w:iCs/>
          <w:sz w:val="22"/>
          <w:szCs w:val="22"/>
          <w:lang w:val="fr-CH"/>
        </w:rPr>
        <w:t xml:space="preserve"> </w:t>
      </w:r>
      <w:proofErr w:type="spellStart"/>
      <w:r w:rsidRPr="001D2666">
        <w:rPr>
          <w:rFonts w:ascii="Times New Roman" w:eastAsia="Calibri" w:hAnsi="Times New Roman" w:cs="Times New Roman"/>
          <w:iCs/>
          <w:sz w:val="22"/>
          <w:szCs w:val="22"/>
          <w:lang w:val="fr-CH"/>
        </w:rPr>
        <w:t>Kemo</w:t>
      </w:r>
      <w:proofErr w:type="spellEnd"/>
      <w:r w:rsidRPr="001D2666">
        <w:rPr>
          <w:rFonts w:ascii="Times New Roman" w:eastAsia="Calibri" w:hAnsi="Times New Roman" w:cs="Times New Roman"/>
          <w:iCs/>
          <w:sz w:val="22"/>
          <w:szCs w:val="22"/>
          <w:lang w:val="fr-CH"/>
        </w:rPr>
        <w:t>, Nana-</w:t>
      </w:r>
      <w:proofErr w:type="spellStart"/>
      <w:r w:rsidRPr="001D2666">
        <w:rPr>
          <w:rFonts w:ascii="Times New Roman" w:eastAsia="Calibri" w:hAnsi="Times New Roman" w:cs="Times New Roman"/>
          <w:iCs/>
          <w:sz w:val="22"/>
          <w:szCs w:val="22"/>
          <w:lang w:val="fr-CH"/>
        </w:rPr>
        <w:t>Grebizi</w:t>
      </w:r>
      <w:proofErr w:type="spellEnd"/>
      <w:r>
        <w:rPr>
          <w:rFonts w:ascii="Times New Roman" w:eastAsia="Calibri" w:hAnsi="Times New Roman" w:cs="Times New Roman"/>
          <w:iCs/>
          <w:sz w:val="22"/>
          <w:szCs w:val="22"/>
          <w:lang w:val="fr-CH"/>
        </w:rPr>
        <w:t xml:space="preserve">, </w:t>
      </w:r>
      <w:proofErr w:type="spellStart"/>
      <w:proofErr w:type="gramStart"/>
      <w:r w:rsidRPr="001D2666">
        <w:rPr>
          <w:rFonts w:ascii="Times New Roman" w:eastAsia="Calibri" w:hAnsi="Times New Roman" w:cs="Times New Roman"/>
          <w:iCs/>
          <w:sz w:val="22"/>
          <w:szCs w:val="22"/>
          <w:lang w:val="fr-CH"/>
        </w:rPr>
        <w:t>Ouaka</w:t>
      </w:r>
      <w:proofErr w:type="spellEnd"/>
      <w:r>
        <w:rPr>
          <w:rFonts w:ascii="Times New Roman" w:eastAsia="Calibri" w:hAnsi="Times New Roman" w:cs="Times New Roman"/>
          <w:iCs/>
          <w:sz w:val="22"/>
          <w:szCs w:val="22"/>
          <w:lang w:val="fr-CH"/>
        </w:rPr>
        <w:t xml:space="preserve">, </w:t>
      </w:r>
      <w:r w:rsidRPr="001D2666">
        <w:rPr>
          <w:rFonts w:ascii="Times New Roman" w:eastAsia="Calibri" w:hAnsi="Times New Roman" w:cs="Times New Roman"/>
          <w:iCs/>
          <w:sz w:val="22"/>
          <w:szCs w:val="22"/>
          <w:lang w:val="fr-CH"/>
        </w:rPr>
        <w:t xml:space="preserve"> </w:t>
      </w:r>
      <w:proofErr w:type="spellStart"/>
      <w:r w:rsidRPr="001D2666">
        <w:rPr>
          <w:rFonts w:ascii="Times New Roman" w:eastAsia="Calibri" w:hAnsi="Times New Roman" w:cs="Times New Roman"/>
          <w:iCs/>
          <w:sz w:val="22"/>
          <w:szCs w:val="22"/>
          <w:lang w:val="fr-CH"/>
        </w:rPr>
        <w:t>Mambere</w:t>
      </w:r>
      <w:proofErr w:type="gramEnd"/>
      <w:r w:rsidRPr="001D2666">
        <w:rPr>
          <w:rFonts w:ascii="Times New Roman" w:eastAsia="Calibri" w:hAnsi="Times New Roman" w:cs="Times New Roman"/>
          <w:iCs/>
          <w:sz w:val="22"/>
          <w:szCs w:val="22"/>
          <w:lang w:val="fr-CH"/>
        </w:rPr>
        <w:t>-Kadei</w:t>
      </w:r>
      <w:proofErr w:type="spellEnd"/>
      <w:r>
        <w:rPr>
          <w:rFonts w:ascii="Times New Roman" w:eastAsia="Calibri" w:hAnsi="Times New Roman" w:cs="Times New Roman"/>
          <w:iCs/>
          <w:sz w:val="22"/>
          <w:szCs w:val="22"/>
          <w:lang w:val="fr-CH"/>
        </w:rPr>
        <w:t xml:space="preserve">, </w:t>
      </w:r>
      <w:r w:rsidRPr="001D2666">
        <w:rPr>
          <w:rFonts w:ascii="Times New Roman" w:eastAsia="Calibri" w:hAnsi="Times New Roman" w:cs="Times New Roman"/>
          <w:iCs/>
          <w:sz w:val="22"/>
          <w:szCs w:val="22"/>
          <w:lang w:val="fr-CH"/>
        </w:rPr>
        <w:t>Ouham-Pende</w:t>
      </w:r>
      <w:r>
        <w:rPr>
          <w:rFonts w:ascii="Times New Roman" w:eastAsia="Calibri" w:hAnsi="Times New Roman" w:cs="Times New Roman"/>
          <w:iCs/>
          <w:sz w:val="22"/>
          <w:szCs w:val="22"/>
          <w:lang w:val="fr-CH"/>
        </w:rPr>
        <w:t>,</w:t>
      </w:r>
      <w:r w:rsidRPr="001D2666">
        <w:rPr>
          <w:rFonts w:ascii="Times New Roman" w:eastAsia="Calibri" w:hAnsi="Times New Roman" w:cs="Times New Roman"/>
          <w:iCs/>
          <w:sz w:val="22"/>
          <w:szCs w:val="22"/>
          <w:lang w:val="fr-CH"/>
        </w:rPr>
        <w:t xml:space="preserve"> Bamingui-</w:t>
      </w:r>
      <w:proofErr w:type="spellStart"/>
      <w:r w:rsidRPr="001D2666">
        <w:rPr>
          <w:rFonts w:ascii="Times New Roman" w:eastAsia="Calibri" w:hAnsi="Times New Roman" w:cs="Times New Roman"/>
          <w:iCs/>
          <w:sz w:val="22"/>
          <w:szCs w:val="22"/>
          <w:lang w:val="fr-CH"/>
        </w:rPr>
        <w:t>Bangoran</w:t>
      </w:r>
      <w:proofErr w:type="spellEnd"/>
      <w:r w:rsidRPr="001D2666">
        <w:rPr>
          <w:rFonts w:ascii="Times New Roman" w:eastAsia="Calibri" w:hAnsi="Times New Roman" w:cs="Times New Roman"/>
          <w:iCs/>
          <w:sz w:val="22"/>
          <w:szCs w:val="22"/>
          <w:lang w:val="fr-CH"/>
        </w:rPr>
        <w:t xml:space="preserve">, Ouham et </w:t>
      </w:r>
      <w:proofErr w:type="spellStart"/>
      <w:r w:rsidRPr="001D2666">
        <w:rPr>
          <w:rFonts w:ascii="Times New Roman" w:eastAsia="Calibri" w:hAnsi="Times New Roman" w:cs="Times New Roman"/>
          <w:iCs/>
          <w:sz w:val="22"/>
          <w:szCs w:val="22"/>
          <w:lang w:val="fr-CH"/>
        </w:rPr>
        <w:t>Vakaga</w:t>
      </w:r>
      <w:proofErr w:type="spellEnd"/>
      <w:r w:rsidRPr="001D2666">
        <w:rPr>
          <w:rFonts w:ascii="Times New Roman" w:eastAsia="Calibri" w:hAnsi="Times New Roman" w:cs="Times New Roman"/>
          <w:iCs/>
          <w:sz w:val="22"/>
          <w:szCs w:val="22"/>
          <w:lang w:val="fr-CH"/>
        </w:rPr>
        <w:t>. Compte tenu du caractère changeant de la situation sécuritaire en RCA, le phasage des préfectures peut être sujet à changement, tout comme les préfectures sélectionnées pour un déploiement ultérieur.</w:t>
      </w:r>
      <w:r>
        <w:rPr>
          <w:rFonts w:ascii="Times New Roman" w:eastAsia="Calibri" w:hAnsi="Times New Roman" w:cs="Times New Roman"/>
          <w:iCs/>
          <w:sz w:val="22"/>
          <w:szCs w:val="22"/>
          <w:lang w:val="fr-CH"/>
        </w:rPr>
        <w:t xml:space="preserve"> </w:t>
      </w:r>
      <w:r w:rsidRPr="002B5202">
        <w:rPr>
          <w:rFonts w:ascii="Times New Roman" w:eastAsia="Calibri" w:hAnsi="Times New Roman" w:cs="Times New Roman"/>
          <w:iCs/>
          <w:sz w:val="22"/>
          <w:szCs w:val="22"/>
          <w:lang w:val="fr-CH"/>
        </w:rPr>
        <w:t>Le projet profitera de la présence d’autres projets de la Banque Mondiale et d’autres acteurs partenaires. Un Scan Conflit &amp; Sécurité sera fait, afin d’éviter la réalisation du projet là où il y a trop de risques de sécurité.</w:t>
      </w:r>
    </w:p>
    <w:p w14:paraId="21AE0A5E" w14:textId="77777777" w:rsidR="002B5202" w:rsidRPr="002B5202" w:rsidRDefault="002B5202" w:rsidP="002B5202">
      <w:pPr>
        <w:spacing w:after="160" w:line="259" w:lineRule="auto"/>
        <w:jc w:val="both"/>
        <w:rPr>
          <w:rFonts w:ascii="Times New Roman" w:eastAsia="Calibri" w:hAnsi="Times New Roman" w:cs="Times New Roman"/>
          <w:bCs/>
          <w:iCs/>
          <w:color w:val="00000A"/>
          <w:sz w:val="22"/>
          <w:szCs w:val="22"/>
          <w:lang w:val="fr-FR"/>
        </w:rPr>
      </w:pPr>
      <w:bookmarkStart w:id="0" w:name="OLE_LINK1"/>
      <w:r w:rsidRPr="002B5202">
        <w:rPr>
          <w:rFonts w:ascii="Times New Roman" w:eastAsia="Calibri" w:hAnsi="Times New Roman" w:cs="Times New Roman"/>
          <w:bCs/>
          <w:iCs/>
          <w:color w:val="00000A"/>
          <w:sz w:val="22"/>
          <w:szCs w:val="22"/>
          <w:lang w:val="fr-FR"/>
        </w:rPr>
        <w:t xml:space="preserve">Les activités du Projet </w:t>
      </w:r>
      <w:proofErr w:type="spellStart"/>
      <w:r w:rsidRPr="002B5202">
        <w:rPr>
          <w:rFonts w:ascii="Times New Roman" w:eastAsia="Calibri" w:hAnsi="Times New Roman" w:cs="Times New Roman"/>
          <w:bCs/>
          <w:iCs/>
          <w:color w:val="00000A"/>
          <w:sz w:val="22"/>
          <w:szCs w:val="22"/>
          <w:lang w:val="fr-FR"/>
        </w:rPr>
        <w:t>Maïngo</w:t>
      </w:r>
      <w:proofErr w:type="spellEnd"/>
      <w:r w:rsidRPr="002B5202">
        <w:rPr>
          <w:rFonts w:ascii="Times New Roman" w:eastAsia="Calibri" w:hAnsi="Times New Roman" w:cs="Times New Roman"/>
          <w:bCs/>
          <w:iCs/>
          <w:color w:val="00000A"/>
          <w:sz w:val="22"/>
          <w:szCs w:val="22"/>
          <w:lang w:val="fr-FR"/>
        </w:rPr>
        <w:t xml:space="preserve"> sont organisées autour de quatre composantes.</w:t>
      </w:r>
    </w:p>
    <w:p w14:paraId="2CD0790A" w14:textId="77777777" w:rsidR="002B5202" w:rsidRPr="002B5202" w:rsidRDefault="002B5202" w:rsidP="002B5202">
      <w:pPr>
        <w:spacing w:after="160" w:line="259" w:lineRule="auto"/>
        <w:jc w:val="both"/>
        <w:rPr>
          <w:rFonts w:ascii="Times New Roman" w:eastAsia="Calibri" w:hAnsi="Times New Roman" w:cs="Times New Roman"/>
          <w:bCs/>
          <w:iCs/>
          <w:color w:val="00000A"/>
          <w:sz w:val="22"/>
          <w:szCs w:val="22"/>
          <w:lang w:val="fr-FR"/>
        </w:rPr>
      </w:pPr>
      <w:r w:rsidRPr="002B5202">
        <w:rPr>
          <w:rFonts w:ascii="Times New Roman" w:eastAsia="Calibri" w:hAnsi="Times New Roman" w:cs="Times New Roman"/>
          <w:b/>
          <w:iCs/>
          <w:color w:val="00000A"/>
          <w:sz w:val="22"/>
          <w:szCs w:val="22"/>
          <w:lang w:val="fr-FR"/>
        </w:rPr>
        <w:t>La composante 1</w:t>
      </w:r>
      <w:r w:rsidRPr="002B5202">
        <w:rPr>
          <w:rFonts w:ascii="Times New Roman" w:eastAsia="Calibri" w:hAnsi="Times New Roman" w:cs="Times New Roman"/>
          <w:bCs/>
          <w:iCs/>
          <w:color w:val="00000A"/>
          <w:sz w:val="22"/>
          <w:szCs w:val="22"/>
          <w:lang w:val="fr-FR"/>
        </w:rPr>
        <w:t xml:space="preserve"> établira des espaces surs et des clubs communautaires (au sein des installations communautaires existantes) pour permettre aux jeunes femmes et aux jeunes hommes de faire des choix intentionnels et de prendre les mesures souhaitées en ce qui concerne leur santé, leur fertilité, leur éducation et leurs opportunités économiques. Cette composante offrira une gamme de programmes pour les membres de l’Espace sûr, y compris : programmes récréatifs et de loisirs, programmes de base et des programmes d’inclusion productive.</w:t>
      </w:r>
    </w:p>
    <w:p w14:paraId="54C033A6" w14:textId="77777777" w:rsidR="002B5202" w:rsidRPr="002B5202" w:rsidRDefault="002B5202" w:rsidP="002B5202">
      <w:pPr>
        <w:spacing w:after="160" w:line="259" w:lineRule="auto"/>
        <w:jc w:val="both"/>
        <w:rPr>
          <w:rFonts w:ascii="Times New Roman" w:eastAsia="Calibri" w:hAnsi="Times New Roman" w:cs="Times New Roman"/>
          <w:bCs/>
          <w:iCs/>
          <w:color w:val="00000A"/>
          <w:sz w:val="22"/>
          <w:szCs w:val="22"/>
          <w:lang w:val="fr-FR"/>
        </w:rPr>
      </w:pPr>
      <w:r w:rsidRPr="002B5202">
        <w:rPr>
          <w:rFonts w:ascii="Times New Roman" w:eastAsia="Calibri" w:hAnsi="Times New Roman" w:cs="Times New Roman"/>
          <w:b/>
          <w:iCs/>
          <w:color w:val="00000A"/>
          <w:sz w:val="22"/>
          <w:szCs w:val="22"/>
          <w:lang w:val="fr-FR"/>
        </w:rPr>
        <w:t>La composante 2</w:t>
      </w:r>
      <w:r w:rsidRPr="002B5202">
        <w:rPr>
          <w:rFonts w:ascii="Times New Roman" w:eastAsia="Calibri" w:hAnsi="Times New Roman" w:cs="Times New Roman"/>
          <w:bCs/>
          <w:iCs/>
          <w:color w:val="00000A"/>
          <w:sz w:val="22"/>
          <w:szCs w:val="22"/>
          <w:lang w:val="fr-FR"/>
        </w:rPr>
        <w:t xml:space="preserve"> renforcera l’accès aux systèmes de prestation de services, afin d'améliorer la santé, les connaissances et les compétences des femmes et des adolescentes.  Elle élargira l'accès au système de soins de santé primaires grâce aux agents de santé communautaires. Elle utilisera également une approche globale et holistique pour s'attaquer aux principaux obstacles à l'éducation des filles. Elle fournira une formation professionnelle et des opportunités économiques viables aux jeunes non scolarisés, filles et garçons dans les zones sélectionnées du projet, avec un accent particulier sur les filles. Ces formations se feront au profit de jeunes inactifs par le biais de centres polyvalents d'enseignement, de formation et d'alphabétisation professionnels. Ces centres offriront un large éventail de formations non formelles (enseignement et formation professionnels et formation aux moyens de subsistance), de compétences de base, de compétences de vie et de services d'inclusion productive aux jeunes non scolarisés des zones rurales et urbaines, en fonction de leurs besoins. </w:t>
      </w:r>
    </w:p>
    <w:p w14:paraId="6C8A37ED" w14:textId="3A87BCF9" w:rsidR="002B5202" w:rsidRPr="002B5202" w:rsidRDefault="002B5202" w:rsidP="002B5202">
      <w:pPr>
        <w:spacing w:after="160" w:line="259" w:lineRule="auto"/>
        <w:jc w:val="both"/>
        <w:rPr>
          <w:rFonts w:ascii="Times New Roman" w:eastAsia="Calibri" w:hAnsi="Times New Roman" w:cs="Times New Roman"/>
          <w:bCs/>
          <w:iCs/>
          <w:color w:val="00000A"/>
          <w:sz w:val="22"/>
          <w:szCs w:val="22"/>
          <w:lang w:val="fr-FR"/>
        </w:rPr>
      </w:pPr>
      <w:r w:rsidRPr="002B5202">
        <w:rPr>
          <w:rFonts w:ascii="Times New Roman" w:eastAsia="Calibri" w:hAnsi="Times New Roman" w:cs="Times New Roman"/>
          <w:b/>
          <w:iCs/>
          <w:color w:val="00000A"/>
          <w:sz w:val="22"/>
          <w:szCs w:val="22"/>
          <w:lang w:val="fr-FR"/>
        </w:rPr>
        <w:t>La composante 3</w:t>
      </w:r>
      <w:r w:rsidRPr="002B5202">
        <w:rPr>
          <w:rFonts w:ascii="Times New Roman" w:eastAsia="Calibri" w:hAnsi="Times New Roman" w:cs="Times New Roman"/>
          <w:bCs/>
          <w:iCs/>
          <w:color w:val="00000A"/>
          <w:sz w:val="22"/>
          <w:szCs w:val="22"/>
          <w:lang w:val="fr-FR"/>
        </w:rPr>
        <w:t xml:space="preserve"> s'efforcera de soutenir le gouvernement pour une meilleure planification et coordination du large éventail de secteurs qui contribuent à la formation du capital humain en RCA. Elle financera également </w:t>
      </w:r>
      <w:r w:rsidR="005A5ED8">
        <w:rPr>
          <w:rFonts w:ascii="Times New Roman" w:eastAsia="Calibri" w:hAnsi="Times New Roman" w:cs="Times New Roman"/>
          <w:bCs/>
          <w:iCs/>
          <w:color w:val="00000A"/>
          <w:sz w:val="22"/>
          <w:szCs w:val="22"/>
          <w:lang w:val="fr-FR"/>
        </w:rPr>
        <w:t xml:space="preserve">la communication nationale en relation de l’autonomisation des femmes et des filles, et </w:t>
      </w:r>
      <w:r w:rsidRPr="002B5202">
        <w:rPr>
          <w:rFonts w:ascii="Times New Roman" w:eastAsia="Calibri" w:hAnsi="Times New Roman" w:cs="Times New Roman"/>
          <w:bCs/>
          <w:iCs/>
          <w:color w:val="00000A"/>
          <w:sz w:val="22"/>
          <w:szCs w:val="22"/>
          <w:lang w:val="fr-FR"/>
        </w:rPr>
        <w:t>la gestion, la supervision et le suivi évaluation du projet.</w:t>
      </w:r>
    </w:p>
    <w:p w14:paraId="0D906A06" w14:textId="77777777" w:rsidR="002B5202" w:rsidRPr="002B5202" w:rsidRDefault="002B5202" w:rsidP="002B5202">
      <w:pPr>
        <w:spacing w:after="160" w:line="259" w:lineRule="auto"/>
        <w:jc w:val="both"/>
        <w:rPr>
          <w:rFonts w:ascii="Times New Roman" w:eastAsia="Calibri" w:hAnsi="Times New Roman" w:cs="Times New Roman"/>
          <w:b/>
          <w:iCs/>
          <w:sz w:val="22"/>
          <w:szCs w:val="22"/>
          <w:lang w:val="fr-FR"/>
        </w:rPr>
      </w:pPr>
      <w:r w:rsidRPr="002B5202">
        <w:rPr>
          <w:rFonts w:ascii="Times New Roman" w:eastAsia="Calibri" w:hAnsi="Times New Roman" w:cs="Times New Roman"/>
          <w:b/>
          <w:iCs/>
          <w:color w:val="00000A"/>
          <w:sz w:val="22"/>
          <w:szCs w:val="22"/>
          <w:lang w:val="fr-FR"/>
        </w:rPr>
        <w:t>La composante 4</w:t>
      </w:r>
      <w:r w:rsidRPr="002B5202">
        <w:rPr>
          <w:rFonts w:ascii="Times New Roman" w:eastAsia="Calibri" w:hAnsi="Times New Roman" w:cs="Times New Roman"/>
          <w:bCs/>
          <w:iCs/>
          <w:color w:val="00000A"/>
          <w:sz w:val="22"/>
          <w:szCs w:val="22"/>
          <w:lang w:val="fr-FR"/>
        </w:rPr>
        <w:t>, encore appelée composante d'intervention d'urgence, interviendra pour fournir un soutien en temps utile dans les situations d'urgence (catastrophe, épidémie, etc.)</w:t>
      </w:r>
      <w:bookmarkEnd w:id="0"/>
    </w:p>
    <w:p w14:paraId="78402372" w14:textId="77777777" w:rsidR="002B5202" w:rsidRPr="002B5202" w:rsidRDefault="002B5202" w:rsidP="002B5202">
      <w:pPr>
        <w:spacing w:after="160" w:line="259" w:lineRule="auto"/>
        <w:jc w:val="both"/>
        <w:rPr>
          <w:rFonts w:ascii="Times New Roman" w:eastAsia="Calibri" w:hAnsi="Times New Roman" w:cs="Times New Roman"/>
          <w:iCs/>
          <w:sz w:val="22"/>
          <w:szCs w:val="22"/>
          <w:lang w:val="fr-FR"/>
        </w:rPr>
      </w:pPr>
      <w:r w:rsidRPr="002B5202">
        <w:rPr>
          <w:rFonts w:ascii="Times New Roman" w:eastAsia="Calibri" w:hAnsi="Times New Roman" w:cs="Times New Roman"/>
          <w:iCs/>
          <w:sz w:val="22"/>
          <w:szCs w:val="22"/>
          <w:lang w:val="fr-FR"/>
        </w:rPr>
        <w:t xml:space="preserve">Tout en reconnaissant les paramètres de sécurité comparativement fragiles de la RCA, le MEPC s'est engagé à mettre en place des mesures afin de protéger les travailleurs du projet, les sites, les actifs et les activités ainsi que les communautés affectées par le projet contre les menaces potentielles. Pour assurer cette sauvegarde et ainsi la réussite du projet, le MEPC à travers de l’UCP, a déjà établi une évaluation complète des risques de sécurité (ERS) relative à la mise en œuvre du projet </w:t>
      </w:r>
      <w:proofErr w:type="spellStart"/>
      <w:r w:rsidRPr="002B5202">
        <w:rPr>
          <w:rFonts w:ascii="Times New Roman" w:eastAsia="Calibri" w:hAnsi="Times New Roman" w:cs="Times New Roman"/>
          <w:iCs/>
          <w:sz w:val="22"/>
          <w:szCs w:val="22"/>
          <w:lang w:val="fr-FR"/>
        </w:rPr>
        <w:t>Maïngo</w:t>
      </w:r>
      <w:proofErr w:type="spellEnd"/>
      <w:r w:rsidRPr="002B5202">
        <w:rPr>
          <w:rFonts w:ascii="Times New Roman" w:eastAsia="Calibri" w:hAnsi="Times New Roman" w:cs="Times New Roman"/>
          <w:iCs/>
          <w:sz w:val="22"/>
          <w:szCs w:val="22"/>
          <w:lang w:val="fr-FR"/>
        </w:rPr>
        <w:t>, analysant systématiquement et stratégiquement les menaces, vulnérabilités et risques de sécurité dans les zones du projet.</w:t>
      </w:r>
    </w:p>
    <w:p w14:paraId="4F9CC041" w14:textId="77777777" w:rsidR="002B5202" w:rsidRPr="002B5202" w:rsidRDefault="002B5202" w:rsidP="002B5202">
      <w:pPr>
        <w:spacing w:after="160" w:line="259" w:lineRule="auto"/>
        <w:jc w:val="both"/>
        <w:rPr>
          <w:rFonts w:ascii="Times New Roman" w:eastAsia="Calibri" w:hAnsi="Times New Roman" w:cs="Times New Roman"/>
          <w:iCs/>
          <w:sz w:val="22"/>
          <w:szCs w:val="22"/>
          <w:lang w:val="fr-FR"/>
        </w:rPr>
      </w:pPr>
      <w:r w:rsidRPr="002B5202">
        <w:rPr>
          <w:rFonts w:ascii="Times New Roman" w:eastAsia="Calibri" w:hAnsi="Times New Roman" w:cs="Times New Roman"/>
          <w:iCs/>
          <w:sz w:val="22"/>
          <w:szCs w:val="22"/>
          <w:lang w:val="fr-FR"/>
        </w:rPr>
        <w:t>Compte tenu de la forte présence de groupes armés non étatiques sur l'ensemble du territoire centrafricain, les risques potentiels pour la sécurité des travailleurs et des bénéficiaires des projets sont significatifs. Le MEPC, à travers l’UCP, a déjà réalisé une Évaluation des Risques de Sécurité (ERS) pour l’ensemble des activités prévues par le Projet.</w:t>
      </w:r>
    </w:p>
    <w:p w14:paraId="4B88508F" w14:textId="77777777" w:rsidR="002B5202" w:rsidRPr="002B5202" w:rsidRDefault="002B5202" w:rsidP="002B5202">
      <w:pPr>
        <w:spacing w:after="160" w:line="259" w:lineRule="auto"/>
        <w:jc w:val="both"/>
        <w:rPr>
          <w:rFonts w:ascii="Times New Roman" w:eastAsia="Calibri" w:hAnsi="Times New Roman" w:cs="Times New Roman"/>
          <w:iCs/>
          <w:sz w:val="22"/>
          <w:szCs w:val="22"/>
          <w:lang w:val="fr-FR"/>
        </w:rPr>
      </w:pPr>
      <w:r w:rsidRPr="002B5202">
        <w:rPr>
          <w:rFonts w:ascii="Times New Roman" w:eastAsia="Calibri" w:hAnsi="Times New Roman" w:cs="Times New Roman"/>
          <w:iCs/>
          <w:sz w:val="22"/>
          <w:szCs w:val="22"/>
          <w:lang w:val="fr-FR"/>
        </w:rPr>
        <w:lastRenderedPageBreak/>
        <w:t xml:space="preserve">Les objectifs du Plan du Gestion Sécuritaire (PGS) sont d'établir, d’une manière systématique, un processus de planification et des procédures associées pour faire face aux risques de sécurité potentiels pour les travailleurs et contractuels du projet, les sites, les actifs et les activités ainsi que pour les communautés affectées par le projet </w:t>
      </w:r>
      <w:proofErr w:type="spellStart"/>
      <w:r w:rsidRPr="002B5202">
        <w:rPr>
          <w:rFonts w:ascii="Times New Roman" w:eastAsia="Calibri" w:hAnsi="Times New Roman" w:cs="Times New Roman"/>
          <w:iCs/>
          <w:sz w:val="22"/>
          <w:szCs w:val="22"/>
          <w:lang w:val="fr-FR"/>
        </w:rPr>
        <w:t>Maïngo</w:t>
      </w:r>
      <w:proofErr w:type="spellEnd"/>
      <w:r w:rsidRPr="002B5202">
        <w:rPr>
          <w:rFonts w:ascii="Times New Roman" w:eastAsia="Calibri" w:hAnsi="Times New Roman" w:cs="Times New Roman"/>
          <w:iCs/>
          <w:sz w:val="22"/>
          <w:szCs w:val="22"/>
          <w:lang w:val="fr-FR"/>
        </w:rPr>
        <w:t xml:space="preserve"> comme identifiés dans l’ERS. Sur la base des conclusions de l’ERS mentionné, le PGS a été structuré selon les quatre groupes suivants d'atténuation des risques :</w:t>
      </w:r>
    </w:p>
    <w:p w14:paraId="47875AB6" w14:textId="77777777" w:rsidR="002B5202" w:rsidRPr="00773F5F" w:rsidRDefault="002B5202" w:rsidP="00773F5F">
      <w:pPr>
        <w:pStyle w:val="ListParagraph"/>
        <w:numPr>
          <w:ilvl w:val="0"/>
          <w:numId w:val="68"/>
        </w:numPr>
        <w:spacing w:after="160" w:line="259" w:lineRule="auto"/>
        <w:jc w:val="both"/>
        <w:rPr>
          <w:rFonts w:ascii="Times New Roman" w:eastAsia="Calibri" w:hAnsi="Times New Roman" w:cs="Times New Roman"/>
          <w:b/>
          <w:bCs/>
          <w:iCs/>
          <w:sz w:val="22"/>
          <w:szCs w:val="22"/>
          <w:lang w:val="fr-FR"/>
        </w:rPr>
      </w:pPr>
      <w:r w:rsidRPr="00773F5F">
        <w:rPr>
          <w:rFonts w:ascii="Times New Roman" w:eastAsia="Calibri" w:hAnsi="Times New Roman" w:cs="Times New Roman"/>
          <w:b/>
          <w:bCs/>
          <w:iCs/>
          <w:sz w:val="22"/>
          <w:szCs w:val="22"/>
          <w:lang w:val="fr-FR"/>
        </w:rPr>
        <w:t>Atténuation des risques à travers la conception du projet ;</w:t>
      </w:r>
    </w:p>
    <w:p w14:paraId="66319E34" w14:textId="77777777" w:rsidR="00CD4F0F" w:rsidRPr="00773F5F" w:rsidRDefault="002B5202" w:rsidP="00773F5F">
      <w:pPr>
        <w:pStyle w:val="ListParagraph"/>
        <w:numPr>
          <w:ilvl w:val="0"/>
          <w:numId w:val="68"/>
        </w:numPr>
        <w:spacing w:after="160" w:line="259" w:lineRule="auto"/>
        <w:jc w:val="both"/>
        <w:rPr>
          <w:rFonts w:ascii="Times New Roman" w:eastAsia="Calibri" w:hAnsi="Times New Roman" w:cs="Times New Roman"/>
          <w:b/>
          <w:bCs/>
          <w:iCs/>
          <w:sz w:val="22"/>
          <w:szCs w:val="22"/>
          <w:lang w:val="fr-FR"/>
        </w:rPr>
      </w:pPr>
      <w:r w:rsidRPr="00773F5F">
        <w:rPr>
          <w:rFonts w:ascii="Times New Roman" w:eastAsia="Calibri" w:hAnsi="Times New Roman" w:cs="Times New Roman"/>
          <w:b/>
          <w:bCs/>
          <w:iCs/>
          <w:sz w:val="22"/>
          <w:szCs w:val="22"/>
          <w:lang w:val="fr-FR"/>
        </w:rPr>
        <w:t xml:space="preserve">Atténuation des risques par la structure organisationnelle permettant une responsabilité de sécurité </w:t>
      </w:r>
    </w:p>
    <w:p w14:paraId="2EAFCD03" w14:textId="32FE7094" w:rsidR="002B5202" w:rsidRPr="00773F5F" w:rsidRDefault="002B5202" w:rsidP="00773F5F">
      <w:pPr>
        <w:pStyle w:val="ListParagraph"/>
        <w:numPr>
          <w:ilvl w:val="0"/>
          <w:numId w:val="68"/>
        </w:numPr>
        <w:spacing w:after="160" w:line="259" w:lineRule="auto"/>
        <w:jc w:val="both"/>
        <w:rPr>
          <w:rFonts w:ascii="Times New Roman" w:eastAsia="Calibri" w:hAnsi="Times New Roman" w:cs="Times New Roman"/>
          <w:b/>
          <w:bCs/>
          <w:iCs/>
          <w:sz w:val="22"/>
          <w:szCs w:val="22"/>
          <w:lang w:val="fr-FR"/>
        </w:rPr>
      </w:pPr>
      <w:r w:rsidRPr="00773F5F">
        <w:rPr>
          <w:rFonts w:ascii="Times New Roman" w:eastAsia="Calibri" w:hAnsi="Times New Roman" w:cs="Times New Roman"/>
          <w:b/>
          <w:bCs/>
          <w:iCs/>
          <w:sz w:val="22"/>
          <w:szCs w:val="22"/>
          <w:lang w:val="fr-FR"/>
        </w:rPr>
        <w:t>Atténuation des risques par des partenariats de sécurité en réseau ;</w:t>
      </w:r>
    </w:p>
    <w:p w14:paraId="2958BE37" w14:textId="77777777" w:rsidR="002B5202" w:rsidRPr="00773F5F" w:rsidRDefault="002B5202" w:rsidP="00773F5F">
      <w:pPr>
        <w:pStyle w:val="ListParagraph"/>
        <w:numPr>
          <w:ilvl w:val="0"/>
          <w:numId w:val="68"/>
        </w:numPr>
        <w:spacing w:after="160" w:line="259" w:lineRule="auto"/>
        <w:jc w:val="both"/>
        <w:rPr>
          <w:rFonts w:ascii="Times New Roman" w:eastAsia="Calibri" w:hAnsi="Times New Roman" w:cs="Times New Roman"/>
          <w:b/>
          <w:bCs/>
          <w:iCs/>
          <w:sz w:val="22"/>
          <w:szCs w:val="22"/>
          <w:lang w:val="fr-FR"/>
        </w:rPr>
      </w:pPr>
      <w:r w:rsidRPr="00773F5F">
        <w:rPr>
          <w:rFonts w:ascii="Times New Roman" w:eastAsia="Calibri" w:hAnsi="Times New Roman" w:cs="Times New Roman"/>
          <w:b/>
          <w:bCs/>
          <w:iCs/>
          <w:sz w:val="22"/>
          <w:szCs w:val="22"/>
          <w:lang w:val="fr-FR"/>
        </w:rPr>
        <w:t>Atténuation des risques par la standardisation des procédures</w:t>
      </w:r>
    </w:p>
    <w:p w14:paraId="4C85FA74" w14:textId="77777777" w:rsidR="002B5202" w:rsidRPr="002B5202" w:rsidRDefault="002B5202" w:rsidP="002B5202">
      <w:pPr>
        <w:spacing w:after="160" w:line="259" w:lineRule="auto"/>
        <w:jc w:val="both"/>
        <w:rPr>
          <w:rFonts w:ascii="Times New Roman" w:eastAsia="Calibri" w:hAnsi="Times New Roman" w:cs="Times New Roman"/>
          <w:iCs/>
          <w:sz w:val="22"/>
          <w:szCs w:val="22"/>
          <w:lang w:val="fr-FR"/>
        </w:rPr>
      </w:pPr>
      <w:r w:rsidRPr="002B5202">
        <w:rPr>
          <w:rFonts w:ascii="Times New Roman" w:eastAsia="Calibri" w:hAnsi="Times New Roman" w:cs="Times New Roman"/>
          <w:iCs/>
          <w:sz w:val="22"/>
          <w:szCs w:val="22"/>
          <w:lang w:val="fr-FR"/>
        </w:rPr>
        <w:t xml:space="preserve">Le niveau de risque sur le plan de sécurité dans les zones du </w:t>
      </w:r>
      <w:proofErr w:type="spellStart"/>
      <w:r w:rsidRPr="002B5202">
        <w:rPr>
          <w:rFonts w:ascii="Times New Roman" w:eastAsia="Calibri" w:hAnsi="Times New Roman" w:cs="Times New Roman"/>
          <w:iCs/>
          <w:sz w:val="22"/>
          <w:szCs w:val="22"/>
          <w:lang w:val="fr-FR"/>
        </w:rPr>
        <w:t>Maïngo</w:t>
      </w:r>
      <w:proofErr w:type="spellEnd"/>
      <w:r w:rsidRPr="002B5202">
        <w:rPr>
          <w:rFonts w:ascii="Times New Roman" w:eastAsia="Calibri" w:hAnsi="Times New Roman" w:cs="Times New Roman"/>
          <w:iCs/>
          <w:sz w:val="22"/>
          <w:szCs w:val="22"/>
          <w:lang w:val="fr-FR"/>
        </w:rPr>
        <w:t xml:space="preserve"> est présenté dans le tableau ci-dessous.</w:t>
      </w:r>
    </w:p>
    <w:p w14:paraId="4AE61001" w14:textId="77777777" w:rsidR="002B5202" w:rsidRPr="002B5202" w:rsidRDefault="002B5202" w:rsidP="002B5202">
      <w:pPr>
        <w:spacing w:after="160" w:line="259" w:lineRule="auto"/>
        <w:jc w:val="both"/>
        <w:rPr>
          <w:rFonts w:ascii="Times New Roman" w:eastAsia="Calibri" w:hAnsi="Times New Roman" w:cs="Times New Roman"/>
          <w:b/>
          <w:bCs/>
          <w:iCs/>
          <w:lang w:val="fr-CH"/>
        </w:rPr>
      </w:pPr>
      <w:r w:rsidRPr="002B5202">
        <w:rPr>
          <w:rFonts w:ascii="Times New Roman" w:eastAsia="Calibri" w:hAnsi="Times New Roman" w:cs="Times New Roman"/>
          <w:iCs/>
          <w:sz w:val="22"/>
          <w:szCs w:val="22"/>
          <w:lang w:val="fr-FR"/>
        </w:rPr>
        <w:t> </w:t>
      </w:r>
      <w:r w:rsidRPr="002B5202">
        <w:rPr>
          <w:rFonts w:ascii="Times New Roman" w:eastAsia="Calibri" w:hAnsi="Times New Roman" w:cs="Times New Roman"/>
          <w:b/>
          <w:bCs/>
          <w:iCs/>
          <w:lang w:val="fr-CH"/>
        </w:rPr>
        <w:t xml:space="preserve">Tableau 1 : Niveau de risque de sécurité dans les zones du </w:t>
      </w:r>
      <w:proofErr w:type="spellStart"/>
      <w:r w:rsidRPr="002B5202">
        <w:rPr>
          <w:rFonts w:ascii="Times New Roman" w:eastAsia="Calibri" w:hAnsi="Times New Roman" w:cs="Times New Roman"/>
          <w:b/>
          <w:bCs/>
          <w:iCs/>
          <w:color w:val="000000"/>
          <w:sz w:val="22"/>
          <w:szCs w:val="22"/>
          <w:lang w:val="fr-CH"/>
        </w:rPr>
        <w:t>Maïngo</w:t>
      </w:r>
      <w:proofErr w:type="spellEnd"/>
      <w:r w:rsidRPr="002B5202">
        <w:rPr>
          <w:rFonts w:ascii="Times New Roman" w:eastAsia="Calibri" w:hAnsi="Times New Roman" w:cs="Times New Roman"/>
          <w:b/>
          <w:bCs/>
          <w:iCs/>
          <w:color w:val="000000"/>
          <w:sz w:val="22"/>
          <w:szCs w:val="22"/>
          <w:lang w:val="fr-CH"/>
        </w:rPr>
        <w:t xml:space="preserve"> (1</w:t>
      </w:r>
      <w:r w:rsidRPr="002B5202">
        <w:rPr>
          <w:rFonts w:ascii="Times New Roman" w:eastAsia="Calibri" w:hAnsi="Times New Roman" w:cs="Times New Roman"/>
          <w:b/>
          <w:bCs/>
          <w:iCs/>
          <w:color w:val="000000"/>
          <w:sz w:val="22"/>
          <w:szCs w:val="22"/>
          <w:vertAlign w:val="superscript"/>
          <w:lang w:val="fr-CH"/>
        </w:rPr>
        <w:t>er</w:t>
      </w:r>
      <w:r w:rsidRPr="002B5202">
        <w:rPr>
          <w:rFonts w:ascii="Times New Roman" w:eastAsia="Calibri" w:hAnsi="Times New Roman" w:cs="Times New Roman"/>
          <w:b/>
          <w:bCs/>
          <w:iCs/>
          <w:color w:val="000000"/>
          <w:sz w:val="22"/>
          <w:szCs w:val="22"/>
          <w:lang w:val="fr-CH"/>
        </w:rPr>
        <w:t xml:space="preserve"> – 15 mars 2021)</w:t>
      </w:r>
    </w:p>
    <w:tbl>
      <w:tblPr>
        <w:tblStyle w:val="TableGrid"/>
        <w:tblW w:w="0" w:type="auto"/>
        <w:jc w:val="center"/>
        <w:tblLook w:val="04A0" w:firstRow="1" w:lastRow="0" w:firstColumn="1" w:lastColumn="0" w:noHBand="0" w:noVBand="1"/>
      </w:tblPr>
      <w:tblGrid>
        <w:gridCol w:w="1677"/>
        <w:gridCol w:w="3723"/>
        <w:gridCol w:w="3662"/>
      </w:tblGrid>
      <w:tr w:rsidR="002B5202" w:rsidRPr="00361842" w14:paraId="4D9C6CA7" w14:textId="77777777" w:rsidTr="004E3387">
        <w:trPr>
          <w:jc w:val="center"/>
        </w:trPr>
        <w:tc>
          <w:tcPr>
            <w:tcW w:w="1677" w:type="dxa"/>
            <w:tcBorders>
              <w:top w:val="single" w:sz="4" w:space="0" w:color="auto"/>
              <w:left w:val="single" w:sz="4" w:space="0" w:color="auto"/>
              <w:bottom w:val="single" w:sz="4" w:space="0" w:color="auto"/>
              <w:right w:val="single" w:sz="4" w:space="0" w:color="auto"/>
            </w:tcBorders>
            <w:vAlign w:val="center"/>
            <w:hideMark/>
          </w:tcPr>
          <w:p w14:paraId="7700C45C" w14:textId="77777777" w:rsidR="002B5202" w:rsidRPr="002B5202" w:rsidRDefault="002B5202" w:rsidP="002B5202">
            <w:pPr>
              <w:jc w:val="both"/>
              <w:rPr>
                <w:rFonts w:ascii="Times New Roman" w:eastAsia="Calibri" w:hAnsi="Times New Roman" w:cs="Times New Roman"/>
                <w:iCs/>
                <w:lang w:val="fr-CH"/>
              </w:rPr>
            </w:pPr>
            <w:r w:rsidRPr="002B5202">
              <w:rPr>
                <w:rFonts w:ascii="Times New Roman" w:eastAsia="Calibri" w:hAnsi="Times New Roman" w:cs="Times New Roman"/>
                <w:iCs/>
                <w:lang w:val="fr-CH"/>
              </w:rPr>
              <w:t>Niveau de risque de sécurité</w:t>
            </w:r>
          </w:p>
        </w:tc>
        <w:tc>
          <w:tcPr>
            <w:tcW w:w="3723" w:type="dxa"/>
            <w:tcBorders>
              <w:top w:val="single" w:sz="4" w:space="0" w:color="auto"/>
              <w:left w:val="single" w:sz="4" w:space="0" w:color="auto"/>
              <w:bottom w:val="single" w:sz="4" w:space="0" w:color="auto"/>
              <w:right w:val="single" w:sz="4" w:space="0" w:color="auto"/>
            </w:tcBorders>
            <w:hideMark/>
          </w:tcPr>
          <w:p w14:paraId="737A00FE" w14:textId="77777777" w:rsidR="002B5202" w:rsidRPr="002B5202" w:rsidRDefault="002B5202" w:rsidP="002B5202">
            <w:pPr>
              <w:jc w:val="both"/>
              <w:rPr>
                <w:rFonts w:ascii="Times New Roman" w:eastAsia="Calibri" w:hAnsi="Times New Roman" w:cs="Times New Roman"/>
                <w:iCs/>
                <w:lang w:val="fr-CH"/>
              </w:rPr>
            </w:pPr>
            <w:r w:rsidRPr="002B5202">
              <w:rPr>
                <w:rFonts w:ascii="Times New Roman" w:eastAsia="Calibri" w:hAnsi="Times New Roman" w:cs="Times New Roman"/>
                <w:iCs/>
                <w:lang w:val="fr-CH"/>
              </w:rPr>
              <w:t>Description du niveau des risques de sécurité</w:t>
            </w:r>
          </w:p>
        </w:tc>
        <w:tc>
          <w:tcPr>
            <w:tcW w:w="3662" w:type="dxa"/>
            <w:tcBorders>
              <w:top w:val="single" w:sz="4" w:space="0" w:color="auto"/>
              <w:left w:val="single" w:sz="4" w:space="0" w:color="auto"/>
              <w:bottom w:val="single" w:sz="4" w:space="0" w:color="auto"/>
              <w:right w:val="single" w:sz="4" w:space="0" w:color="auto"/>
            </w:tcBorders>
            <w:hideMark/>
          </w:tcPr>
          <w:p w14:paraId="2A850EFB" w14:textId="77777777" w:rsidR="002B5202" w:rsidRPr="002B5202" w:rsidRDefault="002B5202" w:rsidP="002B5202">
            <w:pPr>
              <w:jc w:val="both"/>
              <w:rPr>
                <w:rFonts w:ascii="Times New Roman" w:eastAsia="Calibri" w:hAnsi="Times New Roman" w:cs="Times New Roman"/>
                <w:iCs/>
                <w:lang w:val="fr-CH"/>
              </w:rPr>
            </w:pPr>
            <w:r w:rsidRPr="002B5202">
              <w:rPr>
                <w:rFonts w:ascii="Times New Roman" w:eastAsia="Calibri" w:hAnsi="Times New Roman" w:cs="Times New Roman"/>
                <w:iCs/>
                <w:lang w:val="fr-CH"/>
              </w:rPr>
              <w:t xml:space="preserve">Zones du projet </w:t>
            </w:r>
            <w:proofErr w:type="spellStart"/>
            <w:r w:rsidRPr="002B5202">
              <w:rPr>
                <w:rFonts w:ascii="Times New Roman" w:eastAsia="Calibri" w:hAnsi="Times New Roman" w:cs="Times New Roman"/>
                <w:iCs/>
                <w:lang w:val="fr-CH"/>
              </w:rPr>
              <w:t>Maïngo</w:t>
            </w:r>
            <w:proofErr w:type="spellEnd"/>
            <w:r w:rsidRPr="002B5202">
              <w:rPr>
                <w:rFonts w:ascii="Times New Roman" w:eastAsia="Calibri" w:hAnsi="Times New Roman" w:cs="Times New Roman"/>
                <w:iCs/>
                <w:lang w:val="fr-CH"/>
              </w:rPr>
              <w:t xml:space="preserve"> concernées</w:t>
            </w:r>
          </w:p>
        </w:tc>
      </w:tr>
      <w:tr w:rsidR="002B5202" w:rsidRPr="002B5202" w14:paraId="7E356B30" w14:textId="77777777" w:rsidTr="004E3387">
        <w:trPr>
          <w:jc w:val="center"/>
        </w:trPr>
        <w:tc>
          <w:tcPr>
            <w:tcW w:w="1677"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50128B9" w14:textId="77777777" w:rsidR="002B5202" w:rsidRPr="002B5202" w:rsidRDefault="002B5202" w:rsidP="002B5202">
            <w:pPr>
              <w:jc w:val="both"/>
              <w:rPr>
                <w:rFonts w:ascii="Times New Roman" w:eastAsia="Calibri" w:hAnsi="Times New Roman" w:cs="Times New Roman"/>
                <w:iCs/>
                <w:lang w:val="fr-CH"/>
              </w:rPr>
            </w:pPr>
            <w:r w:rsidRPr="002B5202">
              <w:rPr>
                <w:rFonts w:ascii="Times New Roman" w:eastAsia="Calibri" w:hAnsi="Times New Roman" w:cs="Times New Roman"/>
                <w:iCs/>
                <w:lang w:val="fr-CH"/>
              </w:rPr>
              <w:t>Vert</w:t>
            </w:r>
          </w:p>
        </w:tc>
        <w:tc>
          <w:tcPr>
            <w:tcW w:w="3723" w:type="dxa"/>
            <w:tcBorders>
              <w:top w:val="single" w:sz="4" w:space="0" w:color="auto"/>
              <w:left w:val="single" w:sz="4" w:space="0" w:color="auto"/>
              <w:bottom w:val="single" w:sz="4" w:space="0" w:color="auto"/>
              <w:right w:val="single" w:sz="4" w:space="0" w:color="auto"/>
            </w:tcBorders>
            <w:hideMark/>
          </w:tcPr>
          <w:p w14:paraId="188403D2" w14:textId="77777777" w:rsidR="002B5202" w:rsidRPr="002B5202" w:rsidRDefault="002B5202" w:rsidP="002B5202">
            <w:pPr>
              <w:jc w:val="both"/>
              <w:rPr>
                <w:rFonts w:ascii="Times New Roman" w:eastAsia="Calibri" w:hAnsi="Times New Roman" w:cs="Times New Roman"/>
                <w:iCs/>
                <w:lang w:val="fr-CH"/>
              </w:rPr>
            </w:pPr>
            <w:r w:rsidRPr="002B5202">
              <w:rPr>
                <w:rFonts w:ascii="Times New Roman" w:eastAsia="Calibri" w:hAnsi="Times New Roman" w:cs="Times New Roman"/>
                <w:iCs/>
                <w:lang w:val="fr-CH"/>
              </w:rPr>
              <w:t>Niveau de risque relativement acceptable dans la préfecture avec de faibles menaces armées contre le projet.</w:t>
            </w:r>
          </w:p>
        </w:tc>
        <w:tc>
          <w:tcPr>
            <w:tcW w:w="3662" w:type="dxa"/>
            <w:tcBorders>
              <w:top w:val="single" w:sz="4" w:space="0" w:color="auto"/>
              <w:left w:val="single" w:sz="4" w:space="0" w:color="auto"/>
              <w:bottom w:val="single" w:sz="4" w:space="0" w:color="auto"/>
              <w:right w:val="single" w:sz="4" w:space="0" w:color="auto"/>
            </w:tcBorders>
            <w:hideMark/>
          </w:tcPr>
          <w:p w14:paraId="1B935520" w14:textId="2E925DA9" w:rsidR="002B5202" w:rsidRPr="002B5202" w:rsidRDefault="00686AEE" w:rsidP="002B5202">
            <w:pPr>
              <w:jc w:val="both"/>
              <w:rPr>
                <w:rFonts w:ascii="Times New Roman" w:eastAsia="Calibri" w:hAnsi="Times New Roman" w:cs="Times New Roman"/>
                <w:iCs/>
                <w:lang w:val="fr-CH"/>
              </w:rPr>
            </w:pPr>
            <w:proofErr w:type="spellStart"/>
            <w:r>
              <w:rPr>
                <w:rFonts w:ascii="Times New Roman" w:eastAsia="Calibri" w:hAnsi="Times New Roman" w:cs="Times New Roman"/>
                <w:iCs/>
                <w:lang w:val="fr-CH"/>
              </w:rPr>
              <w:t>Ouka</w:t>
            </w:r>
            <w:proofErr w:type="spellEnd"/>
          </w:p>
        </w:tc>
      </w:tr>
      <w:tr w:rsidR="002B5202" w:rsidRPr="00686AEE" w14:paraId="555B9051" w14:textId="77777777" w:rsidTr="004E3387">
        <w:trPr>
          <w:jc w:val="center"/>
        </w:trPr>
        <w:tc>
          <w:tcPr>
            <w:tcW w:w="1677"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25E03FA" w14:textId="77777777" w:rsidR="002B5202" w:rsidRPr="002B5202" w:rsidRDefault="002B5202" w:rsidP="002B5202">
            <w:pPr>
              <w:jc w:val="both"/>
              <w:rPr>
                <w:rFonts w:ascii="Times New Roman" w:eastAsia="Calibri" w:hAnsi="Times New Roman" w:cs="Times New Roman"/>
                <w:iCs/>
                <w:lang w:val="fr-CH"/>
              </w:rPr>
            </w:pPr>
            <w:r w:rsidRPr="002B5202">
              <w:rPr>
                <w:rFonts w:ascii="Times New Roman" w:eastAsia="Calibri" w:hAnsi="Times New Roman" w:cs="Times New Roman"/>
                <w:iCs/>
                <w:lang w:val="fr-CH"/>
              </w:rPr>
              <w:t>Orange</w:t>
            </w:r>
          </w:p>
        </w:tc>
        <w:tc>
          <w:tcPr>
            <w:tcW w:w="3723" w:type="dxa"/>
            <w:tcBorders>
              <w:top w:val="single" w:sz="4" w:space="0" w:color="auto"/>
              <w:left w:val="single" w:sz="4" w:space="0" w:color="auto"/>
              <w:bottom w:val="single" w:sz="4" w:space="0" w:color="auto"/>
              <w:right w:val="single" w:sz="4" w:space="0" w:color="auto"/>
            </w:tcBorders>
            <w:hideMark/>
          </w:tcPr>
          <w:p w14:paraId="4BCB6B41" w14:textId="77777777" w:rsidR="002B5202" w:rsidRPr="002B5202" w:rsidRDefault="002B5202" w:rsidP="002B5202">
            <w:pPr>
              <w:jc w:val="both"/>
              <w:rPr>
                <w:rFonts w:ascii="Times New Roman" w:eastAsia="Calibri" w:hAnsi="Times New Roman" w:cs="Times New Roman"/>
                <w:iCs/>
                <w:lang w:val="fr-CH"/>
              </w:rPr>
            </w:pPr>
            <w:r w:rsidRPr="002B5202">
              <w:rPr>
                <w:rFonts w:ascii="Times New Roman" w:eastAsia="Calibri" w:hAnsi="Times New Roman" w:cs="Times New Roman"/>
                <w:iCs/>
                <w:lang w:val="fr-CH"/>
              </w:rPr>
              <w:t>Niveau de risque partiellement difficile en préfecture avec des menaces importantes contre les projets.</w:t>
            </w:r>
          </w:p>
        </w:tc>
        <w:tc>
          <w:tcPr>
            <w:tcW w:w="3662" w:type="dxa"/>
            <w:tcBorders>
              <w:top w:val="single" w:sz="4" w:space="0" w:color="auto"/>
              <w:left w:val="single" w:sz="4" w:space="0" w:color="auto"/>
              <w:bottom w:val="single" w:sz="4" w:space="0" w:color="auto"/>
              <w:right w:val="single" w:sz="4" w:space="0" w:color="auto"/>
            </w:tcBorders>
            <w:hideMark/>
          </w:tcPr>
          <w:p w14:paraId="55DE89DC" w14:textId="00ECACCD" w:rsidR="002B5202" w:rsidRPr="002B5202" w:rsidRDefault="002B5202" w:rsidP="002B5202">
            <w:pPr>
              <w:jc w:val="both"/>
              <w:rPr>
                <w:rFonts w:ascii="Times New Roman" w:eastAsia="Calibri" w:hAnsi="Times New Roman" w:cs="Times New Roman"/>
                <w:iCs/>
                <w:lang w:val="fr-CH"/>
              </w:rPr>
            </w:pPr>
            <w:r w:rsidRPr="002B5202">
              <w:rPr>
                <w:rFonts w:ascii="Times New Roman" w:eastAsia="Calibri" w:hAnsi="Times New Roman" w:cs="Times New Roman"/>
                <w:iCs/>
                <w:lang w:val="fr-CH"/>
              </w:rPr>
              <w:t xml:space="preserve">Bangui ; </w:t>
            </w:r>
            <w:proofErr w:type="spellStart"/>
            <w:r w:rsidRPr="002B5202">
              <w:rPr>
                <w:rFonts w:ascii="Times New Roman" w:eastAsia="Calibri" w:hAnsi="Times New Roman" w:cs="Times New Roman"/>
                <w:iCs/>
                <w:lang w:val="fr-CH"/>
              </w:rPr>
              <w:t>Kémo</w:t>
            </w:r>
            <w:proofErr w:type="spellEnd"/>
            <w:r w:rsidRPr="002B5202">
              <w:rPr>
                <w:rFonts w:ascii="Times New Roman" w:eastAsia="Calibri" w:hAnsi="Times New Roman" w:cs="Times New Roman"/>
                <w:iCs/>
                <w:lang w:val="fr-CH"/>
              </w:rPr>
              <w:t xml:space="preserve"> ; </w:t>
            </w:r>
            <w:proofErr w:type="spellStart"/>
            <w:r w:rsidRPr="002B5202">
              <w:rPr>
                <w:rFonts w:ascii="Times New Roman" w:eastAsia="Calibri" w:hAnsi="Times New Roman" w:cs="Times New Roman"/>
                <w:iCs/>
                <w:lang w:val="fr-CH"/>
              </w:rPr>
              <w:t>Mambéré-Kadéï</w:t>
            </w:r>
            <w:proofErr w:type="spellEnd"/>
            <w:r w:rsidRPr="002B5202">
              <w:rPr>
                <w:rFonts w:ascii="Times New Roman" w:eastAsia="Calibri" w:hAnsi="Times New Roman" w:cs="Times New Roman"/>
                <w:iCs/>
                <w:lang w:val="fr-CH"/>
              </w:rPr>
              <w:t xml:space="preserve"> ; </w:t>
            </w:r>
          </w:p>
        </w:tc>
      </w:tr>
      <w:tr w:rsidR="002B5202" w:rsidRPr="00361842" w14:paraId="4F0D4194" w14:textId="77777777" w:rsidTr="004E3387">
        <w:trPr>
          <w:jc w:val="center"/>
        </w:trPr>
        <w:tc>
          <w:tcPr>
            <w:tcW w:w="1677"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4BC53A2" w14:textId="77777777" w:rsidR="002B5202" w:rsidRPr="002B5202" w:rsidRDefault="002B5202" w:rsidP="002B5202">
            <w:pPr>
              <w:jc w:val="both"/>
              <w:rPr>
                <w:rFonts w:ascii="Times New Roman" w:eastAsia="Calibri" w:hAnsi="Times New Roman" w:cs="Times New Roman"/>
                <w:iCs/>
                <w:lang w:val="fr-CH"/>
              </w:rPr>
            </w:pPr>
            <w:r w:rsidRPr="002B5202">
              <w:rPr>
                <w:rFonts w:ascii="Times New Roman" w:eastAsia="Calibri" w:hAnsi="Times New Roman" w:cs="Times New Roman"/>
                <w:iCs/>
                <w:color w:val="FFFFFF"/>
                <w:lang w:val="fr-CH"/>
              </w:rPr>
              <w:t>Rouge</w:t>
            </w:r>
          </w:p>
        </w:tc>
        <w:tc>
          <w:tcPr>
            <w:tcW w:w="3723" w:type="dxa"/>
            <w:tcBorders>
              <w:top w:val="single" w:sz="4" w:space="0" w:color="auto"/>
              <w:left w:val="single" w:sz="4" w:space="0" w:color="auto"/>
              <w:bottom w:val="single" w:sz="4" w:space="0" w:color="auto"/>
              <w:right w:val="single" w:sz="4" w:space="0" w:color="auto"/>
            </w:tcBorders>
          </w:tcPr>
          <w:p w14:paraId="37E15062" w14:textId="77777777" w:rsidR="002B5202" w:rsidRPr="002B5202" w:rsidRDefault="002B5202" w:rsidP="002B5202">
            <w:pPr>
              <w:jc w:val="both"/>
              <w:rPr>
                <w:rFonts w:ascii="Times New Roman" w:eastAsia="Calibri" w:hAnsi="Times New Roman" w:cs="Times New Roman"/>
                <w:iCs/>
                <w:lang w:val="fr-CH"/>
              </w:rPr>
            </w:pPr>
            <w:r w:rsidRPr="002B5202">
              <w:rPr>
                <w:rFonts w:ascii="Times New Roman" w:eastAsia="Calibri" w:hAnsi="Times New Roman" w:cs="Times New Roman"/>
                <w:iCs/>
                <w:lang w:val="fr-CH"/>
              </w:rPr>
              <w:t>Niveau de risque élevé dans la préfecture avec des menaces importantes à très importantes.</w:t>
            </w:r>
          </w:p>
          <w:p w14:paraId="59D593F8" w14:textId="77777777" w:rsidR="002B5202" w:rsidRPr="002B5202" w:rsidRDefault="002B5202" w:rsidP="002B5202">
            <w:pPr>
              <w:jc w:val="both"/>
              <w:rPr>
                <w:rFonts w:ascii="Times New Roman" w:eastAsia="Calibri" w:hAnsi="Times New Roman" w:cs="Times New Roman"/>
                <w:iCs/>
                <w:lang w:val="fr-CH"/>
              </w:rPr>
            </w:pPr>
          </w:p>
        </w:tc>
        <w:tc>
          <w:tcPr>
            <w:tcW w:w="3662" w:type="dxa"/>
            <w:tcBorders>
              <w:top w:val="single" w:sz="4" w:space="0" w:color="auto"/>
              <w:left w:val="single" w:sz="4" w:space="0" w:color="auto"/>
              <w:bottom w:val="single" w:sz="4" w:space="0" w:color="auto"/>
              <w:right w:val="single" w:sz="4" w:space="0" w:color="auto"/>
            </w:tcBorders>
            <w:hideMark/>
          </w:tcPr>
          <w:p w14:paraId="719A7F29" w14:textId="620132A7" w:rsidR="002B5202" w:rsidRPr="002B5202" w:rsidRDefault="002B5202" w:rsidP="002B5202">
            <w:pPr>
              <w:jc w:val="both"/>
              <w:rPr>
                <w:rFonts w:ascii="Times New Roman" w:eastAsia="Calibri" w:hAnsi="Times New Roman" w:cs="Times New Roman"/>
                <w:iCs/>
                <w:lang w:val="fr-CH"/>
              </w:rPr>
            </w:pPr>
            <w:r w:rsidRPr="002B5202">
              <w:rPr>
                <w:rFonts w:ascii="Times New Roman" w:eastAsia="Calibri" w:hAnsi="Times New Roman" w:cs="Times New Roman"/>
                <w:iCs/>
                <w:lang w:val="fr-CH"/>
              </w:rPr>
              <w:t>Bamingui-</w:t>
            </w:r>
            <w:proofErr w:type="spellStart"/>
            <w:r w:rsidRPr="002B5202">
              <w:rPr>
                <w:rFonts w:ascii="Times New Roman" w:eastAsia="Calibri" w:hAnsi="Times New Roman" w:cs="Times New Roman"/>
                <w:iCs/>
                <w:lang w:val="fr-CH"/>
              </w:rPr>
              <w:t>Bangoran</w:t>
            </w:r>
            <w:proofErr w:type="spellEnd"/>
            <w:r w:rsidRPr="002B5202">
              <w:rPr>
                <w:rFonts w:ascii="Times New Roman" w:eastAsia="Calibri" w:hAnsi="Times New Roman" w:cs="Times New Roman"/>
                <w:iCs/>
                <w:lang w:val="fr-CH"/>
              </w:rPr>
              <w:t> ; Ouham ; Ouham-Pendé ; Nana-</w:t>
            </w:r>
            <w:proofErr w:type="spellStart"/>
            <w:r w:rsidRPr="002B5202">
              <w:rPr>
                <w:rFonts w:ascii="Times New Roman" w:eastAsia="Calibri" w:hAnsi="Times New Roman" w:cs="Times New Roman"/>
                <w:iCs/>
                <w:lang w:val="fr-CH"/>
              </w:rPr>
              <w:t>Grébizi</w:t>
            </w:r>
            <w:proofErr w:type="spellEnd"/>
            <w:r w:rsidR="00686AEE">
              <w:rPr>
                <w:rFonts w:ascii="Times New Roman" w:eastAsia="Calibri" w:hAnsi="Times New Roman" w:cs="Times New Roman"/>
                <w:iCs/>
                <w:lang w:val="fr-CH"/>
              </w:rPr>
              <w:t xml:space="preserve">, </w:t>
            </w:r>
            <w:proofErr w:type="spellStart"/>
            <w:r w:rsidR="00686AEE">
              <w:rPr>
                <w:rFonts w:ascii="Times New Roman" w:eastAsia="Calibri" w:hAnsi="Times New Roman" w:cs="Times New Roman"/>
                <w:iCs/>
                <w:lang w:val="fr-CH"/>
              </w:rPr>
              <w:t>Vakaga</w:t>
            </w:r>
            <w:proofErr w:type="spellEnd"/>
            <w:r w:rsidRPr="002B5202">
              <w:rPr>
                <w:rFonts w:ascii="Times New Roman" w:eastAsia="Calibri" w:hAnsi="Times New Roman" w:cs="Times New Roman"/>
                <w:iCs/>
                <w:lang w:val="fr-CH"/>
              </w:rPr>
              <w:t> </w:t>
            </w:r>
          </w:p>
        </w:tc>
      </w:tr>
    </w:tbl>
    <w:p w14:paraId="4A99A401" w14:textId="77777777" w:rsidR="002B5202" w:rsidRPr="002B5202" w:rsidRDefault="002B5202" w:rsidP="002B5202">
      <w:pPr>
        <w:spacing w:after="160" w:line="259" w:lineRule="auto"/>
        <w:jc w:val="both"/>
        <w:rPr>
          <w:rFonts w:ascii="Times New Roman" w:eastAsia="Calibri" w:hAnsi="Times New Roman" w:cs="Times New Roman"/>
          <w:iCs/>
          <w:sz w:val="22"/>
          <w:szCs w:val="22"/>
          <w:lang w:val="fr-FR"/>
        </w:rPr>
      </w:pPr>
    </w:p>
    <w:p w14:paraId="0335A105" w14:textId="77777777" w:rsidR="002B5202" w:rsidRPr="002B5202" w:rsidRDefault="002B5202" w:rsidP="002B5202">
      <w:pPr>
        <w:spacing w:after="120" w:line="259" w:lineRule="auto"/>
        <w:ind w:firstLine="720"/>
        <w:jc w:val="both"/>
        <w:rPr>
          <w:rFonts w:ascii="Times New Roman" w:eastAsia="Calibri" w:hAnsi="Times New Roman" w:cs="Times New Roman"/>
          <w:iCs/>
          <w:lang w:val="fr-CH"/>
        </w:rPr>
      </w:pPr>
      <w:r w:rsidRPr="002B5202">
        <w:rPr>
          <w:rFonts w:ascii="Times New Roman" w:eastAsia="Calibri" w:hAnsi="Times New Roman" w:cs="Times New Roman"/>
          <w:iCs/>
          <w:lang w:val="fr-CH"/>
        </w:rPr>
        <w:t>La situation générale en matière de sécurité dans toute la RCA reste extrêmement précaire et instable. Malgré l’Accord Politique pour la Paix et la Réconciliation (APPR), on continue de signaler des affrontements armés, des violations des droits de l’homme ainsi que d’autres troubles à l’ordre public. On observe aussi une itinérance des groupes armés non-étatiques. L'insécurité est alimentée par plusieurs lignées de conflit, y compris par les griefs socio-économiques entre les ethnies du pays, la concurrence entre les éleveurs et les agriculteurs,</w:t>
      </w:r>
      <w:r w:rsidRPr="002B5202">
        <w:rPr>
          <w:rFonts w:ascii="Times New Roman" w:eastAsia="Calibri" w:hAnsi="Times New Roman" w:cs="Times New Roman"/>
          <w:iCs/>
          <w:szCs w:val="20"/>
          <w:vertAlign w:val="superscript"/>
          <w:lang w:val="fr-CH"/>
        </w:rPr>
        <w:footnoteReference w:id="2"/>
      </w:r>
      <w:r w:rsidRPr="002B5202">
        <w:rPr>
          <w:rFonts w:ascii="Times New Roman" w:eastAsia="Calibri" w:hAnsi="Times New Roman" w:cs="Times New Roman"/>
          <w:iCs/>
          <w:lang w:val="fr-CH"/>
        </w:rPr>
        <w:t xml:space="preserve"> l'absence de structures étatiques et l'exploitation associée de l'anarchie à travers diverses milices dans de nombreuses régions du pays, l'antagonisme religieux entre musulmans et chrétiens ainsi que l’économie de la violence qui règne afin d’exploiter les ressources du pays.</w:t>
      </w:r>
      <w:r w:rsidRPr="002B5202">
        <w:rPr>
          <w:rFonts w:ascii="Times New Roman" w:eastAsia="Calibri" w:hAnsi="Times New Roman" w:cs="Times New Roman"/>
          <w:iCs/>
          <w:szCs w:val="20"/>
          <w:vertAlign w:val="superscript"/>
          <w:lang w:val="fr-CH"/>
        </w:rPr>
        <w:footnoteReference w:id="3"/>
      </w:r>
      <w:r w:rsidRPr="002B5202">
        <w:rPr>
          <w:rFonts w:ascii="Times New Roman" w:eastAsia="Calibri" w:hAnsi="Times New Roman" w:cs="Times New Roman"/>
          <w:iCs/>
          <w:lang w:val="fr-CH"/>
        </w:rPr>
        <w:t xml:space="preserve"> Entre janvier 2020 et le 11 mars 2021, 699 incidents de violence armée avec 605 décès ont été enregistrés.</w:t>
      </w:r>
      <w:r w:rsidRPr="002B5202">
        <w:rPr>
          <w:rFonts w:ascii="Calibri" w:eastAsia="Calibri" w:hAnsi="Calibri" w:cs="Times New Roman"/>
          <w:iCs/>
          <w:lang w:val="fr-CH"/>
        </w:rPr>
        <w:t xml:space="preserve"> </w:t>
      </w:r>
      <w:r w:rsidRPr="002B5202">
        <w:rPr>
          <w:rFonts w:ascii="Times New Roman" w:eastAsia="Calibri" w:hAnsi="Times New Roman" w:cs="Times New Roman"/>
          <w:iCs/>
          <w:lang w:val="fr-CH"/>
        </w:rPr>
        <w:t xml:space="preserve">Les élections de décembre 2020 ont été marquées par une forte augmentation de la violence. La CPC, une coalition puissante réunissant notamment l’Anti-Balaka et la Séléka, a tenté de prendre la capitale créant énormément d’instabilité et a permis une détérioration rapide du système de sécurité. </w:t>
      </w:r>
    </w:p>
    <w:p w14:paraId="3B6EEA73" w14:textId="77777777" w:rsidR="002B5202" w:rsidRPr="002B5202" w:rsidRDefault="002B5202" w:rsidP="002B5202">
      <w:pPr>
        <w:spacing w:after="120" w:line="259" w:lineRule="auto"/>
        <w:ind w:firstLine="720"/>
        <w:jc w:val="both"/>
        <w:rPr>
          <w:rFonts w:ascii="Times New Roman" w:eastAsia="Calibri" w:hAnsi="Times New Roman" w:cs="Times New Roman"/>
          <w:iCs/>
          <w:lang w:val="fr-FR"/>
        </w:rPr>
      </w:pPr>
      <w:r w:rsidRPr="002B5202">
        <w:rPr>
          <w:rFonts w:ascii="Times New Roman" w:eastAsia="Calibri" w:hAnsi="Times New Roman" w:cs="Times New Roman"/>
          <w:iCs/>
          <w:lang w:val="fr-CH"/>
        </w:rPr>
        <w:t>L’analyse du contexte sécuritaire du pays a révélé un certain nombre de facteurs contribuant au conflit armé, à la violence politique et à l'insécurité, notamment : (i) de groupes armés non-étatiques puissants mais en cours de fragmentation ; (ii) des troubles civils dus aux tensions socio-économiques et politiques ; (iii) des affrontements communautaires locaux ; et (iv) des violences individuelles et criminelles.</w:t>
      </w:r>
      <w:r w:rsidRPr="002B5202">
        <w:rPr>
          <w:rFonts w:ascii="Times New Roman" w:eastAsia="Calibri" w:hAnsi="Times New Roman" w:cs="Times New Roman"/>
          <w:iCs/>
          <w:lang w:val="fr-FR"/>
        </w:rPr>
        <w:t xml:space="preserve">  </w:t>
      </w:r>
    </w:p>
    <w:p w14:paraId="29250902" w14:textId="77777777" w:rsidR="002B5202" w:rsidRPr="002B5202" w:rsidRDefault="002B5202" w:rsidP="002B5202">
      <w:pPr>
        <w:spacing w:after="160" w:line="259" w:lineRule="auto"/>
        <w:ind w:firstLine="720"/>
        <w:jc w:val="both"/>
        <w:rPr>
          <w:rFonts w:ascii="Times New Roman" w:eastAsia="Calibri" w:hAnsi="Times New Roman" w:cs="Times New Roman"/>
          <w:iCs/>
          <w:lang w:val="fr-CH"/>
        </w:rPr>
      </w:pPr>
      <w:r w:rsidRPr="002B5202">
        <w:rPr>
          <w:rFonts w:ascii="Times New Roman" w:eastAsia="Calibri" w:hAnsi="Times New Roman" w:cs="Times New Roman"/>
          <w:iCs/>
          <w:lang w:val="fr-CH"/>
        </w:rPr>
        <w:lastRenderedPageBreak/>
        <w:t>Outre la définition des mesures d'atténuation des risques de sécurité par la conception du projet, par des responsabilités clairement définies, par des partenariats de sécurité et par des procédures standardisées, le PGS comprend également des modèles d'instruments suggérés d'atténuation des risques et propose des termes de référence adaptables pour les rôles et services nécessaires. En termes de mesures d’atténuation, des mesures d’ordre institutionnel, des mesures d’ordre opérationnel et des partenariats sont proposés pour assurer l’opérationnalité et l’efficacité du plan.</w:t>
      </w:r>
    </w:p>
    <w:p w14:paraId="0CD76A4C" w14:textId="23BD99B2" w:rsidR="002B5202" w:rsidRDefault="002B5202" w:rsidP="002B5202">
      <w:pPr>
        <w:spacing w:after="160" w:line="259" w:lineRule="auto"/>
        <w:ind w:firstLine="720"/>
        <w:jc w:val="both"/>
        <w:rPr>
          <w:rFonts w:ascii="Times New Roman" w:eastAsia="Calibri" w:hAnsi="Times New Roman" w:cs="Times New Roman"/>
          <w:iCs/>
          <w:lang w:val="fr-CH"/>
        </w:rPr>
      </w:pPr>
      <w:r w:rsidRPr="002B5202">
        <w:rPr>
          <w:rFonts w:ascii="Times New Roman" w:eastAsia="Calibri" w:hAnsi="Times New Roman" w:cs="Times New Roman"/>
          <w:iCs/>
          <w:lang w:val="fr-CH"/>
        </w:rPr>
        <w:t>La mise en œuvre et l'efficacité du PGS seront surveillées tout au long de la mise en œuvre du projet. Le PGS sera mis à jour lorsque de nouveaux risques de sécurité ou des menaces potentielles sont identifiés durant les examens trimestriels réguliers de l’ERS. Bien que l’ERS ne soit pas divulgué, les mesures d'atténuation, les procédures opérationnelles, les responsabilités organisationnelles et les modèles potentiels seront inclus dans le PGS, ces derniers devant ensuite être divulgués et partagés avec les parties prenantes concernées.</w:t>
      </w:r>
    </w:p>
    <w:p w14:paraId="3BBE0E9E" w14:textId="558D3C85" w:rsidR="0007361D" w:rsidRDefault="00A54B92" w:rsidP="00942B25">
      <w:pPr>
        <w:ind w:firstLine="720"/>
        <w:jc w:val="both"/>
        <w:rPr>
          <w:rFonts w:ascii="Times New Roman" w:eastAsia="Calibri" w:hAnsi="Times New Roman" w:cs="Times New Roman"/>
          <w:iCs/>
          <w:lang w:val="fr-CH"/>
        </w:rPr>
      </w:pPr>
      <w:r>
        <w:rPr>
          <w:rFonts w:ascii="Times New Roman" w:eastAsia="Calibri" w:hAnsi="Times New Roman" w:cs="Times New Roman"/>
          <w:iCs/>
          <w:lang w:val="fr-CH"/>
        </w:rPr>
        <w:t xml:space="preserve">Les mesures d’atténuation comprendront également </w:t>
      </w:r>
      <w:r w:rsidRPr="00C468EE">
        <w:rPr>
          <w:rFonts w:ascii="Times New Roman" w:eastAsia="Calibri" w:hAnsi="Times New Roman" w:cs="Times New Roman"/>
          <w:iCs/>
          <w:lang w:val="fr-CH"/>
        </w:rPr>
        <w:t>du personnel de sécurité</w:t>
      </w:r>
      <w:r>
        <w:rPr>
          <w:rFonts w:ascii="Times New Roman" w:eastAsia="Calibri" w:hAnsi="Times New Roman" w:cs="Times New Roman"/>
          <w:iCs/>
          <w:lang w:val="fr-CH"/>
        </w:rPr>
        <w:t xml:space="preserve"> : </w:t>
      </w:r>
      <w:r w:rsidR="0007361D">
        <w:rPr>
          <w:rFonts w:ascii="Times New Roman" w:hAnsi="Times New Roman" w:cs="Times New Roman"/>
          <w:lang w:val="fr-CH"/>
        </w:rPr>
        <w:t>Le</w:t>
      </w:r>
      <w:r w:rsidR="0007361D" w:rsidRPr="0000269F">
        <w:rPr>
          <w:rFonts w:ascii="Times New Roman" w:hAnsi="Times New Roman" w:cs="Times New Roman"/>
          <w:lang w:val="fr-CH"/>
        </w:rPr>
        <w:t xml:space="preserve"> MEPC demande</w:t>
      </w:r>
      <w:r w:rsidR="0007361D">
        <w:rPr>
          <w:rFonts w:ascii="Times New Roman" w:hAnsi="Times New Roman" w:cs="Times New Roman"/>
          <w:lang w:val="fr-CH"/>
        </w:rPr>
        <w:t>ra</w:t>
      </w:r>
      <w:r w:rsidR="0007361D" w:rsidRPr="0000269F">
        <w:rPr>
          <w:rFonts w:ascii="Times New Roman" w:hAnsi="Times New Roman" w:cs="Times New Roman"/>
          <w:lang w:val="fr-CH"/>
        </w:rPr>
        <w:t xml:space="preserve"> </w:t>
      </w:r>
      <w:r w:rsidR="0007361D">
        <w:rPr>
          <w:rFonts w:ascii="Times New Roman" w:hAnsi="Times New Roman" w:cs="Times New Roman"/>
          <w:lang w:val="fr-CH"/>
        </w:rPr>
        <w:t xml:space="preserve">par un courriel </w:t>
      </w:r>
      <w:r w:rsidR="0007361D" w:rsidRPr="0000269F">
        <w:rPr>
          <w:rFonts w:ascii="Times New Roman" w:hAnsi="Times New Roman" w:cs="Times New Roman"/>
          <w:lang w:val="fr-CH"/>
        </w:rPr>
        <w:t xml:space="preserve">aux ministères de la sécurité de mettre </w:t>
      </w:r>
      <w:r w:rsidR="0007361D">
        <w:rPr>
          <w:rFonts w:ascii="Times New Roman" w:hAnsi="Times New Roman" w:cs="Times New Roman"/>
          <w:lang w:val="fr-CH"/>
        </w:rPr>
        <w:t>à</w:t>
      </w:r>
      <w:r w:rsidR="0007361D" w:rsidRPr="0000269F">
        <w:rPr>
          <w:rFonts w:ascii="Times New Roman" w:hAnsi="Times New Roman" w:cs="Times New Roman"/>
          <w:lang w:val="fr-CH"/>
        </w:rPr>
        <w:t xml:space="preserve"> disposition du projet un </w:t>
      </w:r>
      <w:r w:rsidR="0007361D">
        <w:rPr>
          <w:rFonts w:ascii="Times New Roman" w:hAnsi="Times New Roman" w:cs="Times New Roman"/>
          <w:lang w:val="fr-CH"/>
        </w:rPr>
        <w:t>spécialiste</w:t>
      </w:r>
      <w:r w:rsidR="00A1095A">
        <w:rPr>
          <w:rFonts w:ascii="Times New Roman" w:hAnsi="Times New Roman" w:cs="Times New Roman"/>
          <w:lang w:val="fr-CH"/>
        </w:rPr>
        <w:t xml:space="preserve"> de sécurité</w:t>
      </w:r>
      <w:r w:rsidR="0007361D" w:rsidRPr="0000269F">
        <w:rPr>
          <w:rFonts w:ascii="Times New Roman" w:hAnsi="Times New Roman" w:cs="Times New Roman"/>
          <w:lang w:val="fr-CH"/>
        </w:rPr>
        <w:t xml:space="preserve"> pour assurer la sécurité du projet</w:t>
      </w:r>
      <w:r w:rsidR="0007361D">
        <w:rPr>
          <w:rFonts w:ascii="Times New Roman" w:hAnsi="Times New Roman" w:cs="Times New Roman"/>
          <w:lang w:val="fr-CH"/>
        </w:rPr>
        <w:t xml:space="preserve"> au niveau central</w:t>
      </w:r>
      <w:r w:rsidR="0007361D" w:rsidRPr="0000269F">
        <w:rPr>
          <w:rFonts w:ascii="Times New Roman" w:hAnsi="Times New Roman" w:cs="Times New Roman"/>
          <w:lang w:val="fr-CH"/>
        </w:rPr>
        <w:t>.</w:t>
      </w:r>
      <w:r w:rsidR="0007361D">
        <w:rPr>
          <w:rFonts w:ascii="Times New Roman" w:hAnsi="Times New Roman" w:cs="Times New Roman"/>
          <w:lang w:val="fr-CH"/>
        </w:rPr>
        <w:t xml:space="preserve"> Des points focaux de sécurité seront désignés par les préfets respectifs de ces préfectures pour sécuriser le projet au niveau préfectoral.</w:t>
      </w:r>
      <w:r w:rsidR="0007361D" w:rsidRPr="002E0827">
        <w:rPr>
          <w:rFonts w:ascii="Times New Roman" w:hAnsi="Times New Roman" w:cs="Times New Roman"/>
          <w:lang w:val="fr-CH"/>
        </w:rPr>
        <w:t xml:space="preserve"> </w:t>
      </w:r>
      <w:r w:rsidR="003E6C63">
        <w:rPr>
          <w:rFonts w:ascii="Times New Roman" w:hAnsi="Times New Roman" w:cs="Times New Roman"/>
          <w:lang w:val="fr-CH"/>
        </w:rPr>
        <w:t xml:space="preserve">Il y aura également </w:t>
      </w:r>
      <w:r w:rsidR="00C468EE" w:rsidRPr="00C468EE">
        <w:rPr>
          <w:rFonts w:ascii="Times New Roman" w:eastAsia="Calibri" w:hAnsi="Times New Roman" w:cs="Times New Roman"/>
          <w:iCs/>
          <w:lang w:val="fr-CH"/>
        </w:rPr>
        <w:t xml:space="preserve">une vérification des antécédents, un engagement des parties prenantes, la surveillance et rapports ; </w:t>
      </w:r>
      <w:r w:rsidR="00361842">
        <w:rPr>
          <w:rFonts w:ascii="Times New Roman" w:eastAsia="Calibri" w:hAnsi="Times New Roman" w:cs="Times New Roman"/>
          <w:iCs/>
          <w:lang w:val="fr-CH"/>
        </w:rPr>
        <w:t>la vérification d</w:t>
      </w:r>
      <w:r w:rsidR="00C468EE" w:rsidRPr="00C468EE">
        <w:rPr>
          <w:rFonts w:ascii="Times New Roman" w:eastAsia="Calibri" w:hAnsi="Times New Roman" w:cs="Times New Roman"/>
          <w:iCs/>
          <w:lang w:val="fr-CH"/>
        </w:rPr>
        <w:t>’allégation de mauvaise conduite et la sécurisation des E</w:t>
      </w:r>
      <w:r w:rsidR="003E6C63">
        <w:rPr>
          <w:rFonts w:ascii="Times New Roman" w:eastAsia="Calibri" w:hAnsi="Times New Roman" w:cs="Times New Roman"/>
          <w:iCs/>
          <w:lang w:val="fr-CH"/>
        </w:rPr>
        <w:t xml:space="preserve">spaces </w:t>
      </w:r>
      <w:r w:rsidR="00C468EE" w:rsidRPr="00C468EE">
        <w:rPr>
          <w:rFonts w:ascii="Times New Roman" w:eastAsia="Calibri" w:hAnsi="Times New Roman" w:cs="Times New Roman"/>
          <w:iCs/>
          <w:lang w:val="fr-CH"/>
        </w:rPr>
        <w:t>S</w:t>
      </w:r>
      <w:r w:rsidR="003E6C63">
        <w:rPr>
          <w:rFonts w:ascii="Times New Roman" w:eastAsia="Calibri" w:hAnsi="Times New Roman" w:cs="Times New Roman"/>
          <w:iCs/>
          <w:lang w:val="fr-CH"/>
        </w:rPr>
        <w:t>urs</w:t>
      </w:r>
      <w:r w:rsidR="00BB0BA5">
        <w:rPr>
          <w:rFonts w:ascii="Times New Roman" w:eastAsia="Calibri" w:hAnsi="Times New Roman" w:cs="Times New Roman"/>
          <w:iCs/>
          <w:lang w:val="fr-CH"/>
        </w:rPr>
        <w:t>.</w:t>
      </w:r>
    </w:p>
    <w:p w14:paraId="7DF3A581" w14:textId="77777777" w:rsidR="003E6C63" w:rsidRDefault="003E6C63" w:rsidP="00EC44CE">
      <w:pPr>
        <w:jc w:val="both"/>
        <w:rPr>
          <w:rFonts w:ascii="Times New Roman" w:eastAsia="Calibri" w:hAnsi="Times New Roman" w:cs="Times New Roman"/>
          <w:iCs/>
          <w:lang w:val="fr-CH"/>
        </w:rPr>
      </w:pPr>
    </w:p>
    <w:p w14:paraId="1B433430" w14:textId="29CB6653" w:rsidR="00BB0BA5" w:rsidRDefault="00BB0BA5" w:rsidP="002819EC">
      <w:pPr>
        <w:spacing w:after="160" w:line="259" w:lineRule="auto"/>
        <w:ind w:firstLine="720"/>
        <w:jc w:val="both"/>
        <w:rPr>
          <w:rFonts w:ascii="Times New Roman" w:eastAsia="Calibri" w:hAnsi="Times New Roman" w:cs="Times New Roman"/>
          <w:iCs/>
          <w:lang w:val="fr-CH"/>
        </w:rPr>
      </w:pPr>
      <w:r>
        <w:rPr>
          <w:rFonts w:ascii="Times New Roman" w:eastAsia="Calibri" w:hAnsi="Times New Roman" w:cs="Times New Roman"/>
          <w:iCs/>
          <w:lang w:val="fr-CH"/>
        </w:rPr>
        <w:t xml:space="preserve">Le </w:t>
      </w:r>
      <w:r w:rsidR="007973A9">
        <w:rPr>
          <w:rFonts w:ascii="Times New Roman" w:eastAsia="Calibri" w:hAnsi="Times New Roman" w:cs="Times New Roman"/>
          <w:iCs/>
          <w:lang w:val="fr-CH"/>
        </w:rPr>
        <w:t>Spécialiste</w:t>
      </w:r>
      <w:r>
        <w:rPr>
          <w:rFonts w:ascii="Times New Roman" w:eastAsia="Calibri" w:hAnsi="Times New Roman" w:cs="Times New Roman"/>
          <w:iCs/>
          <w:lang w:val="fr-CH"/>
        </w:rPr>
        <w:t xml:space="preserve"> en sécurité, le personnel du pr</w:t>
      </w:r>
      <w:r w:rsidR="000D2C86">
        <w:rPr>
          <w:rFonts w:ascii="Times New Roman" w:eastAsia="Calibri" w:hAnsi="Times New Roman" w:cs="Times New Roman"/>
          <w:iCs/>
          <w:lang w:val="fr-CH"/>
        </w:rPr>
        <w:t xml:space="preserve">ojet, les mentors et les </w:t>
      </w:r>
      <w:r w:rsidR="001B44D9">
        <w:rPr>
          <w:rFonts w:ascii="Times New Roman" w:eastAsia="Calibri" w:hAnsi="Times New Roman" w:cs="Times New Roman"/>
          <w:iCs/>
          <w:lang w:val="fr-CH"/>
        </w:rPr>
        <w:t>enseignants puis les</w:t>
      </w:r>
      <w:r w:rsidR="003178A6">
        <w:rPr>
          <w:rFonts w:ascii="Times New Roman" w:eastAsia="Calibri" w:hAnsi="Times New Roman" w:cs="Times New Roman"/>
          <w:iCs/>
          <w:lang w:val="fr-CH"/>
        </w:rPr>
        <w:t xml:space="preserve"> points focaux au niveau </w:t>
      </w:r>
      <w:r w:rsidR="007973A9">
        <w:rPr>
          <w:rFonts w:ascii="Times New Roman" w:eastAsia="Calibri" w:hAnsi="Times New Roman" w:cs="Times New Roman"/>
          <w:iCs/>
          <w:lang w:val="fr-CH"/>
        </w:rPr>
        <w:t>régional seront régulièrement formés sur les codes de sécurité et</w:t>
      </w:r>
      <w:r w:rsidR="00475DB0">
        <w:rPr>
          <w:rFonts w:ascii="Times New Roman" w:eastAsia="Calibri" w:hAnsi="Times New Roman" w:cs="Times New Roman"/>
          <w:iCs/>
          <w:lang w:val="fr-CH"/>
        </w:rPr>
        <w:t xml:space="preserve"> </w:t>
      </w:r>
      <w:r w:rsidR="007973A9">
        <w:rPr>
          <w:rFonts w:ascii="Times New Roman" w:eastAsia="Calibri" w:hAnsi="Times New Roman" w:cs="Times New Roman"/>
          <w:iCs/>
          <w:lang w:val="fr-CH"/>
        </w:rPr>
        <w:t>le code de VBG</w:t>
      </w:r>
      <w:r w:rsidR="00CD4F0F">
        <w:rPr>
          <w:rFonts w:ascii="Times New Roman" w:eastAsia="Calibri" w:hAnsi="Times New Roman" w:cs="Times New Roman"/>
          <w:iCs/>
          <w:lang w:val="fr-CH"/>
        </w:rPr>
        <w:t>, les principes des droits de l’homme</w:t>
      </w:r>
      <w:r w:rsidR="007973A9">
        <w:rPr>
          <w:rFonts w:ascii="Times New Roman" w:eastAsia="Calibri" w:hAnsi="Times New Roman" w:cs="Times New Roman"/>
          <w:iCs/>
          <w:lang w:val="fr-CH"/>
        </w:rPr>
        <w:t>.</w:t>
      </w:r>
      <w:r w:rsidR="006D2DC6">
        <w:rPr>
          <w:rFonts w:ascii="Times New Roman" w:eastAsia="Calibri" w:hAnsi="Times New Roman" w:cs="Times New Roman"/>
          <w:iCs/>
          <w:lang w:val="fr-CH"/>
        </w:rPr>
        <w:t xml:space="preserve"> </w:t>
      </w:r>
      <w:r w:rsidR="002819EC">
        <w:rPr>
          <w:rFonts w:ascii="Times New Roman" w:eastAsia="Calibri" w:hAnsi="Times New Roman" w:cs="Times New Roman"/>
          <w:iCs/>
          <w:lang w:val="fr-CH"/>
        </w:rPr>
        <w:t>Les activités de cartographie (scan sécuritaire) seront régulièrement organisées</w:t>
      </w:r>
      <w:r w:rsidR="00DD071B">
        <w:rPr>
          <w:rFonts w:ascii="Times New Roman" w:eastAsia="Calibri" w:hAnsi="Times New Roman" w:cs="Times New Roman"/>
          <w:iCs/>
          <w:lang w:val="fr-CH"/>
        </w:rPr>
        <w:t xml:space="preserve">, et </w:t>
      </w:r>
      <w:r w:rsidR="006D2DC6">
        <w:rPr>
          <w:rFonts w:ascii="Times New Roman" w:eastAsia="Calibri" w:hAnsi="Times New Roman" w:cs="Times New Roman"/>
          <w:iCs/>
          <w:lang w:val="fr-CH"/>
        </w:rPr>
        <w:t>en fonction des situation</w:t>
      </w:r>
      <w:r w:rsidR="00E9765B">
        <w:rPr>
          <w:rFonts w:ascii="Times New Roman" w:eastAsia="Calibri" w:hAnsi="Times New Roman" w:cs="Times New Roman"/>
          <w:iCs/>
          <w:lang w:val="fr-CH"/>
        </w:rPr>
        <w:t>s</w:t>
      </w:r>
      <w:r w:rsidR="006D2DC6">
        <w:rPr>
          <w:rFonts w:ascii="Times New Roman" w:eastAsia="Calibri" w:hAnsi="Times New Roman" w:cs="Times New Roman"/>
          <w:iCs/>
          <w:lang w:val="fr-CH"/>
        </w:rPr>
        <w:t xml:space="preserve"> </w:t>
      </w:r>
      <w:r w:rsidR="00DD071B">
        <w:rPr>
          <w:rFonts w:ascii="Times New Roman" w:eastAsia="Calibri" w:hAnsi="Times New Roman" w:cs="Times New Roman"/>
          <w:iCs/>
          <w:lang w:val="fr-CH"/>
        </w:rPr>
        <w:t>ce personnel</w:t>
      </w:r>
      <w:r w:rsidR="006D2DC6">
        <w:rPr>
          <w:rFonts w:ascii="Times New Roman" w:eastAsia="Calibri" w:hAnsi="Times New Roman" w:cs="Times New Roman"/>
          <w:iCs/>
          <w:lang w:val="fr-CH"/>
        </w:rPr>
        <w:t xml:space="preserve"> suivr</w:t>
      </w:r>
      <w:r w:rsidR="00DD071B">
        <w:rPr>
          <w:rFonts w:ascii="Times New Roman" w:eastAsia="Calibri" w:hAnsi="Times New Roman" w:cs="Times New Roman"/>
          <w:iCs/>
          <w:lang w:val="fr-CH"/>
        </w:rPr>
        <w:t>a</w:t>
      </w:r>
      <w:r w:rsidR="006D2DC6">
        <w:rPr>
          <w:rFonts w:ascii="Times New Roman" w:eastAsia="Calibri" w:hAnsi="Times New Roman" w:cs="Times New Roman"/>
          <w:iCs/>
          <w:lang w:val="fr-CH"/>
        </w:rPr>
        <w:t xml:space="preserve"> des sessions de renforcement de </w:t>
      </w:r>
      <w:r w:rsidR="00E9765B">
        <w:rPr>
          <w:rFonts w:ascii="Times New Roman" w:eastAsia="Calibri" w:hAnsi="Times New Roman" w:cs="Times New Roman"/>
          <w:iCs/>
          <w:lang w:val="fr-CH"/>
        </w:rPr>
        <w:t>capacités et de mise à niveau.</w:t>
      </w:r>
    </w:p>
    <w:p w14:paraId="3F158D8C" w14:textId="77777777" w:rsidR="002B5202" w:rsidRPr="002B5202" w:rsidRDefault="002B5202" w:rsidP="002B5202">
      <w:pPr>
        <w:shd w:val="clear" w:color="auto" w:fill="FFFFFF"/>
        <w:spacing w:before="120" w:after="120"/>
        <w:jc w:val="both"/>
        <w:rPr>
          <w:rFonts w:ascii="Times New Roman" w:eastAsia="Calibri" w:hAnsi="Times New Roman" w:cs="Times New Roman"/>
          <w:iCs/>
          <w:lang w:val="fr-FR"/>
        </w:rPr>
      </w:pPr>
      <w:r w:rsidRPr="002B5202">
        <w:rPr>
          <w:rFonts w:ascii="Times New Roman" w:eastAsia="Calibri" w:hAnsi="Times New Roman" w:cs="Times New Roman"/>
          <w:iCs/>
          <w:lang w:val="fr-FR"/>
        </w:rPr>
        <w:t>Le PGS est un des instruments environnementaux et sociaux préparés par l’UCP pour satisfaire les exigences environnementales et sociales de la Banque mondiale</w:t>
      </w:r>
      <w:r w:rsidRPr="002B5202">
        <w:rPr>
          <w:rFonts w:ascii="Times New Roman" w:eastAsia="Calibri" w:hAnsi="Times New Roman" w:cs="Times New Roman"/>
          <w:iCs/>
          <w:lang w:val="fr-FR"/>
        </w:rPr>
        <w:footnoteReference w:id="4"/>
      </w:r>
      <w:r w:rsidRPr="002B5202">
        <w:rPr>
          <w:rFonts w:ascii="Times New Roman" w:eastAsia="Calibri" w:hAnsi="Times New Roman" w:cs="Times New Roman"/>
          <w:iCs/>
          <w:lang w:val="fr-FR"/>
        </w:rPr>
        <w:t>, ainsi que pour assurer la conformité avec les lois et réglementations de la RCA.  Les autres instruments sont :</w:t>
      </w:r>
    </w:p>
    <w:p w14:paraId="38E40695" w14:textId="77777777" w:rsidR="002B5202" w:rsidRPr="002B5202" w:rsidRDefault="002B5202" w:rsidP="002B5202">
      <w:pPr>
        <w:ind w:left="993"/>
        <w:contextualSpacing/>
        <w:jc w:val="both"/>
        <w:rPr>
          <w:rFonts w:ascii="Times New Roman" w:eastAsia="Calibri" w:hAnsi="Times New Roman" w:cs="Times New Roman"/>
          <w:iCs/>
          <w:lang w:val="fr-FR"/>
        </w:rPr>
      </w:pPr>
    </w:p>
    <w:p w14:paraId="1EDD49FD" w14:textId="77777777" w:rsidR="002B5202" w:rsidRPr="00773F5F" w:rsidRDefault="002B5202" w:rsidP="00773F5F">
      <w:pPr>
        <w:pStyle w:val="ListParagraph"/>
        <w:numPr>
          <w:ilvl w:val="0"/>
          <w:numId w:val="69"/>
        </w:numPr>
        <w:jc w:val="both"/>
        <w:rPr>
          <w:rFonts w:ascii="Times New Roman" w:eastAsia="Calibri" w:hAnsi="Times New Roman" w:cs="Times New Roman"/>
          <w:iCs/>
          <w:lang w:val="fr-FR"/>
        </w:rPr>
      </w:pPr>
      <w:r w:rsidRPr="00773F5F">
        <w:rPr>
          <w:rFonts w:ascii="Times New Roman" w:eastAsia="Calibri" w:hAnsi="Times New Roman" w:cs="Times New Roman"/>
          <w:iCs/>
          <w:lang w:val="fr-FR"/>
        </w:rPr>
        <w:t>Cadre de Gestion Environnementale et Sociale ;</w:t>
      </w:r>
    </w:p>
    <w:p w14:paraId="2A6C29CE" w14:textId="77777777" w:rsidR="002B5202" w:rsidRPr="00773F5F" w:rsidRDefault="002B5202" w:rsidP="00773F5F">
      <w:pPr>
        <w:pStyle w:val="ListParagraph"/>
        <w:numPr>
          <w:ilvl w:val="0"/>
          <w:numId w:val="69"/>
        </w:numPr>
        <w:jc w:val="both"/>
        <w:rPr>
          <w:rFonts w:ascii="Times New Roman" w:eastAsia="Calibri" w:hAnsi="Times New Roman" w:cs="Times New Roman"/>
          <w:iCs/>
          <w:lang w:val="fr-FR"/>
        </w:rPr>
      </w:pPr>
      <w:r w:rsidRPr="00773F5F">
        <w:rPr>
          <w:rFonts w:ascii="Times New Roman" w:eastAsia="Calibri" w:hAnsi="Times New Roman" w:cs="Times New Roman"/>
          <w:iCs/>
          <w:lang w:val="fr-FR"/>
        </w:rPr>
        <w:t>Plan d’action contre l’exploitation, les abus et le harcèlement sexuels ;</w:t>
      </w:r>
    </w:p>
    <w:p w14:paraId="128C94D6" w14:textId="77777777" w:rsidR="002B5202" w:rsidRPr="00773F5F" w:rsidRDefault="002B5202" w:rsidP="00773F5F">
      <w:pPr>
        <w:pStyle w:val="ListParagraph"/>
        <w:numPr>
          <w:ilvl w:val="0"/>
          <w:numId w:val="69"/>
        </w:numPr>
        <w:jc w:val="both"/>
        <w:rPr>
          <w:rFonts w:ascii="Times New Roman" w:eastAsia="Calibri" w:hAnsi="Times New Roman" w:cs="Times New Roman"/>
          <w:iCs/>
          <w:lang w:val="fr-FR"/>
        </w:rPr>
      </w:pPr>
      <w:r w:rsidRPr="00773F5F">
        <w:rPr>
          <w:rFonts w:ascii="Times New Roman" w:eastAsia="Calibri" w:hAnsi="Times New Roman" w:cs="Times New Roman"/>
          <w:iCs/>
          <w:lang w:val="fr-FR"/>
        </w:rPr>
        <w:t>Plan de Gestion de la Sécurité ;</w:t>
      </w:r>
    </w:p>
    <w:p w14:paraId="363696C8" w14:textId="77777777" w:rsidR="002B5202" w:rsidRPr="00773F5F" w:rsidRDefault="002B5202" w:rsidP="00773F5F">
      <w:pPr>
        <w:pStyle w:val="ListParagraph"/>
        <w:numPr>
          <w:ilvl w:val="0"/>
          <w:numId w:val="69"/>
        </w:numPr>
        <w:jc w:val="both"/>
        <w:rPr>
          <w:rFonts w:ascii="Times New Roman" w:eastAsia="Calibri" w:hAnsi="Times New Roman" w:cs="Times New Roman"/>
          <w:iCs/>
          <w:lang w:val="fr-FR"/>
        </w:rPr>
      </w:pPr>
      <w:r w:rsidRPr="00773F5F">
        <w:rPr>
          <w:rFonts w:ascii="Times New Roman" w:eastAsia="Calibri" w:hAnsi="Times New Roman" w:cs="Times New Roman"/>
          <w:iCs/>
          <w:lang w:val="fr-FR"/>
        </w:rPr>
        <w:t>Plan pour les Peuples Autochtones ;</w:t>
      </w:r>
    </w:p>
    <w:p w14:paraId="6743439B" w14:textId="77777777" w:rsidR="002B5202" w:rsidRPr="00773F5F" w:rsidRDefault="002B5202" w:rsidP="00773F5F">
      <w:pPr>
        <w:pStyle w:val="ListParagraph"/>
        <w:numPr>
          <w:ilvl w:val="0"/>
          <w:numId w:val="69"/>
        </w:numPr>
        <w:jc w:val="both"/>
        <w:rPr>
          <w:rFonts w:ascii="Times New Roman" w:eastAsia="Calibri" w:hAnsi="Times New Roman" w:cs="Times New Roman"/>
          <w:iCs/>
          <w:lang w:val="fr-FR"/>
        </w:rPr>
      </w:pPr>
      <w:r w:rsidRPr="00773F5F">
        <w:rPr>
          <w:rFonts w:ascii="Times New Roman" w:eastAsia="Calibri" w:hAnsi="Times New Roman" w:cs="Times New Roman"/>
          <w:iCs/>
          <w:lang w:val="fr-FR"/>
        </w:rPr>
        <w:t>Plan de Mobilisation des Parties Prenantes ;</w:t>
      </w:r>
    </w:p>
    <w:p w14:paraId="1A85800E" w14:textId="77777777" w:rsidR="002B5202" w:rsidRPr="00773F5F" w:rsidRDefault="002B5202" w:rsidP="00773F5F">
      <w:pPr>
        <w:pStyle w:val="ListParagraph"/>
        <w:numPr>
          <w:ilvl w:val="0"/>
          <w:numId w:val="69"/>
        </w:numPr>
        <w:jc w:val="both"/>
        <w:rPr>
          <w:rFonts w:ascii="Times New Roman" w:eastAsia="Calibri" w:hAnsi="Times New Roman" w:cs="Times New Roman"/>
          <w:iCs/>
          <w:lang w:val="fr-FR"/>
        </w:rPr>
      </w:pPr>
      <w:r w:rsidRPr="00773F5F">
        <w:rPr>
          <w:rFonts w:ascii="Times New Roman" w:eastAsia="Calibri" w:hAnsi="Times New Roman" w:cs="Times New Roman"/>
          <w:iCs/>
          <w:lang w:val="fr-FR"/>
        </w:rPr>
        <w:t>Plan de gestion du travail.</w:t>
      </w:r>
    </w:p>
    <w:p w14:paraId="0E8E5E66" w14:textId="77777777" w:rsidR="002B5202" w:rsidRPr="002B5202" w:rsidRDefault="002B5202" w:rsidP="002B5202">
      <w:pPr>
        <w:spacing w:after="160" w:line="259" w:lineRule="auto"/>
        <w:jc w:val="both"/>
        <w:rPr>
          <w:rFonts w:ascii="Times New Roman" w:eastAsia="Calibri" w:hAnsi="Times New Roman" w:cs="Times New Roman"/>
          <w:i/>
          <w:sz w:val="22"/>
          <w:szCs w:val="22"/>
          <w:lang w:val="fr-FR"/>
        </w:rPr>
      </w:pPr>
    </w:p>
    <w:p w14:paraId="1E58B64A" w14:textId="0DB584D9" w:rsidR="002B5202" w:rsidRDefault="002B5202">
      <w:pPr>
        <w:rPr>
          <w:rFonts w:ascii="Times New Roman" w:hAnsi="Times New Roman" w:cs="Times New Roman"/>
          <w:lang w:val="fr-FR"/>
        </w:rPr>
      </w:pPr>
    </w:p>
    <w:p w14:paraId="07B63BD2" w14:textId="7521A999" w:rsidR="004A3F69" w:rsidRDefault="004A3F69">
      <w:pPr>
        <w:rPr>
          <w:rFonts w:ascii="Times New Roman" w:hAnsi="Times New Roman" w:cs="Times New Roman"/>
          <w:lang w:val="fr-FR"/>
        </w:rPr>
      </w:pPr>
    </w:p>
    <w:p w14:paraId="31610D92" w14:textId="5C342526" w:rsidR="009D613D" w:rsidRDefault="009D613D" w:rsidP="00CD0B36">
      <w:pPr>
        <w:rPr>
          <w:rFonts w:ascii="Times New Roman" w:hAnsi="Times New Roman" w:cs="Times New Roman"/>
          <w:lang w:val="fr-FR"/>
        </w:rPr>
      </w:pPr>
    </w:p>
    <w:p w14:paraId="57820256" w14:textId="31A08DC9" w:rsidR="00153E36" w:rsidRPr="00153E36" w:rsidRDefault="00153E36" w:rsidP="00153E36">
      <w:pPr>
        <w:rPr>
          <w:rFonts w:ascii="Times New Roman" w:hAnsi="Times New Roman" w:cs="Times New Roman"/>
          <w:lang w:val="fr-FR"/>
        </w:rPr>
      </w:pPr>
    </w:p>
    <w:p w14:paraId="776C2B1D" w14:textId="0BBEE23D" w:rsidR="00153E36" w:rsidRPr="00153E36" w:rsidRDefault="00153E36" w:rsidP="00153E36">
      <w:pPr>
        <w:rPr>
          <w:rFonts w:ascii="Times New Roman" w:hAnsi="Times New Roman" w:cs="Times New Roman"/>
          <w:lang w:val="fr-FR"/>
        </w:rPr>
      </w:pPr>
    </w:p>
    <w:p w14:paraId="34F9E473" w14:textId="71BDE2A5" w:rsidR="00153E36" w:rsidRPr="00153E36" w:rsidRDefault="00153E36" w:rsidP="00153E36">
      <w:pPr>
        <w:rPr>
          <w:rFonts w:ascii="Times New Roman" w:hAnsi="Times New Roman" w:cs="Times New Roman"/>
          <w:lang w:val="fr-FR"/>
        </w:rPr>
      </w:pPr>
    </w:p>
    <w:p w14:paraId="1CACD01A" w14:textId="2CB8282C" w:rsidR="00153E36" w:rsidRPr="00153E36" w:rsidRDefault="00153E36" w:rsidP="00153E36">
      <w:pPr>
        <w:rPr>
          <w:rFonts w:ascii="Times New Roman" w:hAnsi="Times New Roman" w:cs="Times New Roman"/>
          <w:lang w:val="fr-FR"/>
        </w:rPr>
      </w:pPr>
    </w:p>
    <w:p w14:paraId="2FE9F8B3" w14:textId="3DF6C744" w:rsidR="00153E36" w:rsidRPr="00153E36" w:rsidRDefault="00153E36" w:rsidP="00153E36">
      <w:pPr>
        <w:rPr>
          <w:rFonts w:ascii="Times New Roman" w:hAnsi="Times New Roman" w:cs="Times New Roman"/>
          <w:lang w:val="fr-FR"/>
        </w:rPr>
      </w:pPr>
    </w:p>
    <w:p w14:paraId="3F47462F" w14:textId="2C5C41AE" w:rsidR="00153E36" w:rsidRDefault="00153E36" w:rsidP="00153E36">
      <w:pPr>
        <w:rPr>
          <w:rFonts w:ascii="Times New Roman" w:hAnsi="Times New Roman" w:cs="Times New Roman"/>
          <w:lang w:val="fr-FR"/>
        </w:rPr>
      </w:pPr>
    </w:p>
    <w:p w14:paraId="6A508A6C" w14:textId="2D0F9B89" w:rsidR="00153E36" w:rsidRPr="00153E36" w:rsidRDefault="00153E36" w:rsidP="00153E36">
      <w:pPr>
        <w:tabs>
          <w:tab w:val="left" w:pos="4270"/>
          <w:tab w:val="left" w:pos="6640"/>
        </w:tabs>
        <w:rPr>
          <w:rFonts w:ascii="Times New Roman" w:hAnsi="Times New Roman" w:cs="Times New Roman"/>
          <w:lang w:val="fr-FR"/>
        </w:rPr>
      </w:pPr>
      <w:r>
        <w:rPr>
          <w:rFonts w:ascii="Times New Roman" w:hAnsi="Times New Roman" w:cs="Times New Roman"/>
          <w:lang w:val="fr-FR"/>
        </w:rPr>
        <w:tab/>
      </w:r>
      <w:r>
        <w:rPr>
          <w:rFonts w:ascii="Times New Roman" w:hAnsi="Times New Roman" w:cs="Times New Roman"/>
          <w:lang w:val="fr-FR"/>
        </w:rPr>
        <w:tab/>
      </w:r>
    </w:p>
    <w:sectPr w:rsidR="00153E36" w:rsidRPr="00153E36" w:rsidSect="002C2551">
      <w:headerReference w:type="even" r:id="rId11"/>
      <w:headerReference w:type="default" r:id="rId12"/>
      <w:footerReference w:type="even" r:id="rId13"/>
      <w:footerReference w:type="default" r:id="rId14"/>
      <w:headerReference w:type="first" r:id="rId15"/>
      <w:footerReference w:type="first" r:id="rId16"/>
      <w:pgSz w:w="11906" w:h="16838"/>
      <w:pgMar w:top="777" w:right="777" w:bottom="777" w:left="7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DA57D" w14:textId="77777777" w:rsidR="0049464E" w:rsidRDefault="0049464E" w:rsidP="008C5183">
      <w:r>
        <w:separator/>
      </w:r>
    </w:p>
  </w:endnote>
  <w:endnote w:type="continuationSeparator" w:id="0">
    <w:p w14:paraId="1CABA5D1" w14:textId="77777777" w:rsidR="0049464E" w:rsidRDefault="0049464E" w:rsidP="008C5183">
      <w:r>
        <w:continuationSeparator/>
      </w:r>
    </w:p>
  </w:endnote>
  <w:endnote w:type="continuationNotice" w:id="1">
    <w:p w14:paraId="5A16DB7C" w14:textId="77777777" w:rsidR="0049464E" w:rsidRDefault="004946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2632F" w14:textId="77777777" w:rsidR="00686AEE" w:rsidRDefault="00686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B8BB7" w14:textId="77777777" w:rsidR="00686AEE" w:rsidRDefault="0049464E">
    <w:pPr>
      <w:spacing w:line="200" w:lineRule="exact"/>
      <w:rPr>
        <w:sz w:val="20"/>
        <w:szCs w:val="20"/>
      </w:rPr>
    </w:pPr>
    <w:r>
      <w:rPr>
        <w:noProof/>
        <w:sz w:val="22"/>
        <w:szCs w:val="22"/>
      </w:rPr>
      <w:pict w14:anchorId="37F22C73">
        <v:shapetype id="_x0000_t202" coordsize="21600,21600" o:spt="202" path="m,l,21600r21600,l21600,xe">
          <v:stroke joinstyle="miter"/>
          <v:path gradientshapeok="t" o:connecttype="rect"/>
        </v:shapetype>
        <v:shape id="_x0000_s2049" type="#_x0000_t202" alt="" style="position:absolute;margin-left:516.9pt;margin-top:773.75pt;width:12.25pt;height:16.25pt;z-index:-251658752;mso-wrap-style:square;mso-wrap-edited:f;mso-width-percent:0;mso-height-percent:0;mso-position-horizontal-relative:page;mso-position-vertical-relative:page;mso-width-percent:0;mso-height-percent:0;v-text-anchor:top" filled="f" stroked="f">
          <v:textbox style="mso-next-textbox:#_x0000_s2049" inset="0,0,0,0">
            <w:txbxContent>
              <w:p w14:paraId="2F06FFF9" w14:textId="77777777" w:rsidR="00686AEE" w:rsidRDefault="00686AEE">
                <w:pPr>
                  <w:spacing w:before="68"/>
                  <w:ind w:left="75" w:right="-20"/>
                  <w:rPr>
                    <w:rFonts w:ascii="Arial" w:eastAsia="Arial" w:hAnsi="Arial" w:cs="Arial"/>
                    <w:sz w:val="21"/>
                    <w:szCs w:val="21"/>
                  </w:rPr>
                </w:pPr>
                <w:r>
                  <w:fldChar w:fldCharType="begin"/>
                </w:r>
                <w:r>
                  <w:rPr>
                    <w:rFonts w:ascii="Arial" w:eastAsia="Arial" w:hAnsi="Arial" w:cs="Arial"/>
                    <w:color w:val="1F2126"/>
                    <w:w w:val="112"/>
                    <w:sz w:val="21"/>
                    <w:szCs w:val="21"/>
                  </w:rPr>
                  <w:instrText xml:space="preserve"> PAGE </w:instrText>
                </w:r>
                <w:r>
                  <w:fldChar w:fldCharType="separate"/>
                </w:r>
                <w:r>
                  <w:rPr>
                    <w:rFonts w:ascii="Arial" w:eastAsia="Arial" w:hAnsi="Arial" w:cs="Arial"/>
                    <w:noProof/>
                    <w:color w:val="1F2126"/>
                    <w:w w:val="112"/>
                    <w:sz w:val="21"/>
                    <w:szCs w:val="21"/>
                  </w:rPr>
                  <w:t>42</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5C906" w14:textId="77777777" w:rsidR="00686AEE" w:rsidRDefault="00686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B9B99" w14:textId="77777777" w:rsidR="0049464E" w:rsidRDefault="0049464E" w:rsidP="008C5183">
      <w:r>
        <w:separator/>
      </w:r>
    </w:p>
  </w:footnote>
  <w:footnote w:type="continuationSeparator" w:id="0">
    <w:p w14:paraId="65F9D585" w14:textId="77777777" w:rsidR="0049464E" w:rsidRDefault="0049464E" w:rsidP="008C5183">
      <w:r>
        <w:continuationSeparator/>
      </w:r>
    </w:p>
  </w:footnote>
  <w:footnote w:type="continuationNotice" w:id="1">
    <w:p w14:paraId="459B6399" w14:textId="77777777" w:rsidR="0049464E" w:rsidRDefault="0049464E"/>
  </w:footnote>
  <w:footnote w:id="2">
    <w:p w14:paraId="46FB6BEA" w14:textId="77777777" w:rsidR="00686AEE" w:rsidRDefault="00686AEE" w:rsidP="002B5202">
      <w:pPr>
        <w:jc w:val="both"/>
        <w:rPr>
          <w:sz w:val="20"/>
          <w:szCs w:val="20"/>
          <w:lang w:val="fr-CH"/>
        </w:rPr>
      </w:pPr>
      <w:r>
        <w:rPr>
          <w:rStyle w:val="FootnoteReference"/>
          <w:sz w:val="20"/>
        </w:rPr>
        <w:footnoteRef/>
      </w:r>
      <w:r>
        <w:rPr>
          <w:sz w:val="20"/>
          <w:szCs w:val="20"/>
          <w:lang w:val="fr-CH"/>
        </w:rPr>
        <w:t xml:space="preserve"> Guy-Florent Ankogui-Mpoko et Thierry Vircoulon, </w:t>
      </w:r>
      <w:r>
        <w:rPr>
          <w:i/>
          <w:iCs/>
          <w:sz w:val="20"/>
          <w:szCs w:val="20"/>
          <w:lang w:val="fr-CH"/>
        </w:rPr>
        <w:t>La Transhumance en Centrafrique : une analyse multidimensionelle</w:t>
      </w:r>
      <w:r>
        <w:rPr>
          <w:sz w:val="20"/>
          <w:szCs w:val="20"/>
          <w:lang w:val="fr-CH"/>
        </w:rPr>
        <w:t>, ECOFAUNE Mars 2018,</w:t>
      </w:r>
      <w:r w:rsidRPr="004A3F69">
        <w:rPr>
          <w:sz w:val="20"/>
          <w:szCs w:val="20"/>
          <w:lang w:val="fr-FR"/>
        </w:rPr>
        <w:t xml:space="preserve"> </w:t>
      </w:r>
      <w:hyperlink r:id="rId1" w:history="1">
        <w:r w:rsidRPr="004A3F69">
          <w:rPr>
            <w:rStyle w:val="Hyperlink"/>
            <w:sz w:val="20"/>
            <w:szCs w:val="20"/>
            <w:shd w:val="clear" w:color="auto" w:fill="FFFFFF"/>
            <w:lang w:val="fr-FR"/>
          </w:rPr>
          <w:t>https://ecofaune.org/IMG/pdf/rapport_transhumance_final_fonds_bekou.pdf</w:t>
        </w:r>
      </w:hyperlink>
      <w:r>
        <w:rPr>
          <w:color w:val="201F1E"/>
          <w:sz w:val="20"/>
          <w:szCs w:val="20"/>
          <w:shd w:val="clear" w:color="auto" w:fill="FFFFFF"/>
          <w:lang w:val="fr-CH"/>
        </w:rPr>
        <w:t>.</w:t>
      </w:r>
    </w:p>
  </w:footnote>
  <w:footnote w:id="3">
    <w:p w14:paraId="3667CAAC" w14:textId="77777777" w:rsidR="00686AEE" w:rsidRPr="00670E9B" w:rsidRDefault="00686AEE" w:rsidP="002B5202">
      <w:pPr>
        <w:jc w:val="both"/>
        <w:rPr>
          <w:sz w:val="20"/>
          <w:szCs w:val="20"/>
        </w:rPr>
      </w:pPr>
      <w:r>
        <w:rPr>
          <w:rStyle w:val="FootnoteReference"/>
          <w:sz w:val="20"/>
        </w:rPr>
        <w:footnoteRef/>
      </w:r>
      <w:r w:rsidRPr="00670E9B">
        <w:rPr>
          <w:sz w:val="20"/>
          <w:szCs w:val="20"/>
        </w:rPr>
        <w:t xml:space="preserve"> Alexandre Jaillon et al., </w:t>
      </w:r>
      <w:r w:rsidRPr="00670E9B">
        <w:rPr>
          <w:i/>
          <w:iCs/>
          <w:sz w:val="20"/>
          <w:szCs w:val="20"/>
        </w:rPr>
        <w:t>The Political Economy of Roadblocks in the Central African Republic</w:t>
      </w:r>
      <w:r w:rsidRPr="00670E9B">
        <w:rPr>
          <w:sz w:val="20"/>
          <w:szCs w:val="20"/>
        </w:rPr>
        <w:t xml:space="preserve">, IPIS, Octobre 2018, </w:t>
      </w:r>
      <w:hyperlink r:id="rId2" w:history="1">
        <w:r w:rsidRPr="00670E9B">
          <w:rPr>
            <w:rStyle w:val="Hyperlink"/>
            <w:sz w:val="20"/>
            <w:szCs w:val="20"/>
            <w:shd w:val="clear" w:color="auto" w:fill="FFFFFF"/>
          </w:rPr>
          <w:t>https://ipisresearch.be/publication/political-economy-roadblocks-central-african-republic/</w:t>
        </w:r>
      </w:hyperlink>
      <w:r w:rsidRPr="00670E9B">
        <w:rPr>
          <w:color w:val="201F1E"/>
          <w:sz w:val="20"/>
          <w:szCs w:val="20"/>
          <w:shd w:val="clear" w:color="auto" w:fill="FFFFFF"/>
        </w:rPr>
        <w:t>.</w:t>
      </w:r>
    </w:p>
  </w:footnote>
  <w:footnote w:id="4">
    <w:p w14:paraId="46D6FA15" w14:textId="77777777" w:rsidR="00686AEE" w:rsidRDefault="00686AEE" w:rsidP="002B5202">
      <w:pPr>
        <w:pStyle w:val="FootnoteText"/>
      </w:pPr>
      <w:r>
        <w:rPr>
          <w:rStyle w:val="FootnoteReference"/>
        </w:rPr>
        <w:footnoteRef/>
      </w:r>
      <w:r>
        <w:t xml:space="preserve"> Depuis </w:t>
      </w:r>
      <w:r w:rsidRPr="003826AD">
        <w:t>1er octobre 2018, l</w:t>
      </w:r>
      <w:r>
        <w:t>a Banque mondiale applique l</w:t>
      </w:r>
      <w:r w:rsidRPr="003826AD">
        <w:t>e C</w:t>
      </w:r>
      <w:r>
        <w:t>adre environnemental et social à tous</w:t>
      </w:r>
      <w:r w:rsidRPr="003826AD">
        <w:t xml:space="preserve"> les nouveaux financements de projets d’investissement</w:t>
      </w:r>
      <w:r>
        <w:t xml:space="preserve"> qu’elle appuie.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0DBDC" w14:textId="77777777" w:rsidR="00686AEE" w:rsidRDefault="00686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9B8CC" w14:textId="77777777" w:rsidR="00686AEE" w:rsidRDefault="00686A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2D4DE" w14:textId="77777777" w:rsidR="00686AEE" w:rsidRDefault="00686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145E9CB0"/>
    <w:lvl w:ilvl="0">
      <w:start w:val="1"/>
      <w:numFmt w:val="bullet"/>
      <w:pStyle w:val="ListBullet5"/>
      <w:lvlText w:val=""/>
      <w:lvlJc w:val="left"/>
      <w:pPr>
        <w:ind w:left="1492" w:hanging="360"/>
      </w:pPr>
      <w:rPr>
        <w:rFonts w:ascii="Wingdings" w:hAnsi="Wingdings" w:hint="default"/>
      </w:rPr>
    </w:lvl>
  </w:abstractNum>
  <w:abstractNum w:abstractNumId="1" w15:restartNumberingAfterBreak="0">
    <w:nsid w:val="FFFFFF81"/>
    <w:multiLevelType w:val="singleLevel"/>
    <w:tmpl w:val="AA18F870"/>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2A2C4F22"/>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A60AC5"/>
    <w:multiLevelType w:val="hybridMultilevel"/>
    <w:tmpl w:val="CC56ABC6"/>
    <w:lvl w:ilvl="0" w:tplc="9C3AC994">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AE2F85"/>
    <w:multiLevelType w:val="multilevel"/>
    <w:tmpl w:val="11E2720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392342D"/>
    <w:multiLevelType w:val="hybridMultilevel"/>
    <w:tmpl w:val="B5C614A0"/>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15:restartNumberingAfterBreak="0">
    <w:nsid w:val="03FC01FB"/>
    <w:multiLevelType w:val="hybridMultilevel"/>
    <w:tmpl w:val="80ACD77E"/>
    <w:lvl w:ilvl="0" w:tplc="D28A712E">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5054B7B"/>
    <w:multiLevelType w:val="hybridMultilevel"/>
    <w:tmpl w:val="8132B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850766"/>
    <w:multiLevelType w:val="multilevel"/>
    <w:tmpl w:val="EC3A24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8FE39ED"/>
    <w:multiLevelType w:val="hybridMultilevel"/>
    <w:tmpl w:val="FE6E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6A522E"/>
    <w:multiLevelType w:val="hybridMultilevel"/>
    <w:tmpl w:val="CCF0B6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AA45C43"/>
    <w:multiLevelType w:val="hybridMultilevel"/>
    <w:tmpl w:val="6E789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6E3E40"/>
    <w:multiLevelType w:val="hybridMultilevel"/>
    <w:tmpl w:val="D0CE05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BD692A"/>
    <w:multiLevelType w:val="hybridMultilevel"/>
    <w:tmpl w:val="3A9495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F5510C"/>
    <w:multiLevelType w:val="multilevel"/>
    <w:tmpl w:val="1262C04A"/>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9104366"/>
    <w:multiLevelType w:val="hybridMultilevel"/>
    <w:tmpl w:val="DB48D8E0"/>
    <w:lvl w:ilvl="0" w:tplc="2000000B">
      <w:start w:val="1"/>
      <w:numFmt w:val="bullet"/>
      <w:lvlText w:val=""/>
      <w:lvlJc w:val="left"/>
      <w:pPr>
        <w:ind w:left="785" w:hanging="360"/>
      </w:pPr>
      <w:rPr>
        <w:rFonts w:ascii="Wingdings" w:hAnsi="Wingdings" w:hint="default"/>
      </w:rPr>
    </w:lvl>
    <w:lvl w:ilvl="1" w:tplc="20000003" w:tentative="1">
      <w:start w:val="1"/>
      <w:numFmt w:val="bullet"/>
      <w:lvlText w:val="o"/>
      <w:lvlJc w:val="left"/>
      <w:pPr>
        <w:ind w:left="1505" w:hanging="360"/>
      </w:pPr>
      <w:rPr>
        <w:rFonts w:ascii="Courier New" w:hAnsi="Courier New" w:cs="Courier New" w:hint="default"/>
      </w:rPr>
    </w:lvl>
    <w:lvl w:ilvl="2" w:tplc="20000005" w:tentative="1">
      <w:start w:val="1"/>
      <w:numFmt w:val="bullet"/>
      <w:lvlText w:val=""/>
      <w:lvlJc w:val="left"/>
      <w:pPr>
        <w:ind w:left="2225" w:hanging="360"/>
      </w:pPr>
      <w:rPr>
        <w:rFonts w:ascii="Wingdings" w:hAnsi="Wingdings" w:hint="default"/>
      </w:rPr>
    </w:lvl>
    <w:lvl w:ilvl="3" w:tplc="20000001" w:tentative="1">
      <w:start w:val="1"/>
      <w:numFmt w:val="bullet"/>
      <w:lvlText w:val=""/>
      <w:lvlJc w:val="left"/>
      <w:pPr>
        <w:ind w:left="2945" w:hanging="360"/>
      </w:pPr>
      <w:rPr>
        <w:rFonts w:ascii="Symbol" w:hAnsi="Symbol" w:hint="default"/>
      </w:rPr>
    </w:lvl>
    <w:lvl w:ilvl="4" w:tplc="20000003" w:tentative="1">
      <w:start w:val="1"/>
      <w:numFmt w:val="bullet"/>
      <w:lvlText w:val="o"/>
      <w:lvlJc w:val="left"/>
      <w:pPr>
        <w:ind w:left="3665" w:hanging="360"/>
      </w:pPr>
      <w:rPr>
        <w:rFonts w:ascii="Courier New" w:hAnsi="Courier New" w:cs="Courier New" w:hint="default"/>
      </w:rPr>
    </w:lvl>
    <w:lvl w:ilvl="5" w:tplc="20000005" w:tentative="1">
      <w:start w:val="1"/>
      <w:numFmt w:val="bullet"/>
      <w:lvlText w:val=""/>
      <w:lvlJc w:val="left"/>
      <w:pPr>
        <w:ind w:left="4385" w:hanging="360"/>
      </w:pPr>
      <w:rPr>
        <w:rFonts w:ascii="Wingdings" w:hAnsi="Wingdings" w:hint="default"/>
      </w:rPr>
    </w:lvl>
    <w:lvl w:ilvl="6" w:tplc="20000001" w:tentative="1">
      <w:start w:val="1"/>
      <w:numFmt w:val="bullet"/>
      <w:lvlText w:val=""/>
      <w:lvlJc w:val="left"/>
      <w:pPr>
        <w:ind w:left="5105" w:hanging="360"/>
      </w:pPr>
      <w:rPr>
        <w:rFonts w:ascii="Symbol" w:hAnsi="Symbol" w:hint="default"/>
      </w:rPr>
    </w:lvl>
    <w:lvl w:ilvl="7" w:tplc="20000003" w:tentative="1">
      <w:start w:val="1"/>
      <w:numFmt w:val="bullet"/>
      <w:lvlText w:val="o"/>
      <w:lvlJc w:val="left"/>
      <w:pPr>
        <w:ind w:left="5825" w:hanging="360"/>
      </w:pPr>
      <w:rPr>
        <w:rFonts w:ascii="Courier New" w:hAnsi="Courier New" w:cs="Courier New" w:hint="default"/>
      </w:rPr>
    </w:lvl>
    <w:lvl w:ilvl="8" w:tplc="20000005" w:tentative="1">
      <w:start w:val="1"/>
      <w:numFmt w:val="bullet"/>
      <w:lvlText w:val=""/>
      <w:lvlJc w:val="left"/>
      <w:pPr>
        <w:ind w:left="6545" w:hanging="360"/>
      </w:pPr>
      <w:rPr>
        <w:rFonts w:ascii="Wingdings" w:hAnsi="Wingdings" w:hint="default"/>
      </w:rPr>
    </w:lvl>
  </w:abstractNum>
  <w:abstractNum w:abstractNumId="16" w15:restartNumberingAfterBreak="0">
    <w:nsid w:val="1DAE42E2"/>
    <w:multiLevelType w:val="hybridMultilevel"/>
    <w:tmpl w:val="4896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CD6AA1"/>
    <w:multiLevelType w:val="hybridMultilevel"/>
    <w:tmpl w:val="8884B89E"/>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2218330D"/>
    <w:multiLevelType w:val="hybridMultilevel"/>
    <w:tmpl w:val="627E0FB4"/>
    <w:lvl w:ilvl="0" w:tplc="ABCE7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4B4135"/>
    <w:multiLevelType w:val="hybridMultilevel"/>
    <w:tmpl w:val="30CED0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D873DD"/>
    <w:multiLevelType w:val="hybridMultilevel"/>
    <w:tmpl w:val="7FB4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495F75"/>
    <w:multiLevelType w:val="hybridMultilevel"/>
    <w:tmpl w:val="9DDEE05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F4F18B2"/>
    <w:multiLevelType w:val="hybridMultilevel"/>
    <w:tmpl w:val="3A68E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CD037A"/>
    <w:multiLevelType w:val="hybridMultilevel"/>
    <w:tmpl w:val="26CE09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0DF17DB"/>
    <w:multiLevelType w:val="hybridMultilevel"/>
    <w:tmpl w:val="A0E625D4"/>
    <w:lvl w:ilvl="0" w:tplc="C5B0AE6A">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C56F29"/>
    <w:multiLevelType w:val="hybridMultilevel"/>
    <w:tmpl w:val="87C6599A"/>
    <w:lvl w:ilvl="0" w:tplc="2000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6" w15:restartNumberingAfterBreak="0">
    <w:nsid w:val="351F187D"/>
    <w:multiLevelType w:val="hybridMultilevel"/>
    <w:tmpl w:val="695456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7EA4D66"/>
    <w:multiLevelType w:val="hybridMultilevel"/>
    <w:tmpl w:val="11648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AA0744"/>
    <w:multiLevelType w:val="hybridMultilevel"/>
    <w:tmpl w:val="E06E74B4"/>
    <w:lvl w:ilvl="0" w:tplc="F7BA28FE">
      <w:start w:val="2"/>
      <w:numFmt w:val="bullet"/>
      <w:lvlText w:val="-"/>
      <w:lvlJc w:val="left"/>
      <w:pPr>
        <w:ind w:left="720" w:hanging="360"/>
      </w:pPr>
      <w:rPr>
        <w:rFonts w:ascii="Bahnschrift" w:eastAsiaTheme="minorHAnsi" w:hAnsi="Bahnschrift"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1E83096"/>
    <w:multiLevelType w:val="multilevel"/>
    <w:tmpl w:val="36605D4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DC585B"/>
    <w:multiLevelType w:val="hybridMultilevel"/>
    <w:tmpl w:val="B8343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4F5A4A"/>
    <w:multiLevelType w:val="hybridMultilevel"/>
    <w:tmpl w:val="1B70E9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7F41B79"/>
    <w:multiLevelType w:val="hybridMultilevel"/>
    <w:tmpl w:val="43265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9435CC1"/>
    <w:multiLevelType w:val="multilevel"/>
    <w:tmpl w:val="1262C04A"/>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CE7752F"/>
    <w:multiLevelType w:val="hybridMultilevel"/>
    <w:tmpl w:val="27C4F0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13363F3"/>
    <w:multiLevelType w:val="hybridMultilevel"/>
    <w:tmpl w:val="DEB204E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21F3705"/>
    <w:multiLevelType w:val="hybridMultilevel"/>
    <w:tmpl w:val="F72CD3A6"/>
    <w:lvl w:ilvl="0" w:tplc="FF82D5A0">
      <w:start w:val="1"/>
      <w:numFmt w:val="upperRoman"/>
      <w:lvlText w:val="%1-"/>
      <w:lvlJc w:val="left"/>
      <w:pPr>
        <w:ind w:left="1800" w:hanging="72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7" w15:restartNumberingAfterBreak="0">
    <w:nsid w:val="54DF25D3"/>
    <w:multiLevelType w:val="hybridMultilevel"/>
    <w:tmpl w:val="53A2C8E0"/>
    <w:lvl w:ilvl="0" w:tplc="04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7813490"/>
    <w:multiLevelType w:val="hybridMultilevel"/>
    <w:tmpl w:val="AEF43F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8BE4AC8"/>
    <w:multiLevelType w:val="multilevel"/>
    <w:tmpl w:val="607C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E9C604D"/>
    <w:multiLevelType w:val="hybridMultilevel"/>
    <w:tmpl w:val="DDA6AB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0090A2E"/>
    <w:multiLevelType w:val="hybridMultilevel"/>
    <w:tmpl w:val="FE0491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172299A"/>
    <w:multiLevelType w:val="hybridMultilevel"/>
    <w:tmpl w:val="6D24595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60E753B"/>
    <w:multiLevelType w:val="hybridMultilevel"/>
    <w:tmpl w:val="CFEAE776"/>
    <w:lvl w:ilvl="0" w:tplc="3CA271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7667020"/>
    <w:multiLevelType w:val="hybridMultilevel"/>
    <w:tmpl w:val="5A1EBF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7F500C5"/>
    <w:multiLevelType w:val="hybridMultilevel"/>
    <w:tmpl w:val="71C62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A7A08DE"/>
    <w:multiLevelType w:val="hybridMultilevel"/>
    <w:tmpl w:val="C41A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AB91885"/>
    <w:multiLevelType w:val="hybridMultilevel"/>
    <w:tmpl w:val="750477FC"/>
    <w:lvl w:ilvl="0" w:tplc="A460A9B8">
      <w:start w:val="1"/>
      <w:numFmt w:val="lowerRoman"/>
      <w:pStyle w:val="ListNumber4"/>
      <w:lvlText w:val="%1."/>
      <w:lvlJc w:val="right"/>
      <w:pPr>
        <w:ind w:left="1661" w:hanging="360"/>
      </w:pPr>
      <w:rPr>
        <w:rFonts w:ascii="Times New Roman" w:hAnsi="Times New Roman" w:hint="default"/>
        <w:b w:val="0"/>
        <w:i w:val="0"/>
        <w:caps w:val="0"/>
        <w:strike w:val="0"/>
        <w:dstrike w:val="0"/>
        <w:vanish w:val="0"/>
        <w:sz w:val="24"/>
        <w:vertAlign w:val="baseline"/>
      </w:rPr>
    </w:lvl>
    <w:lvl w:ilvl="1" w:tplc="040C0019" w:tentative="1">
      <w:start w:val="1"/>
      <w:numFmt w:val="lowerLetter"/>
      <w:lvlText w:val="%2."/>
      <w:lvlJc w:val="left"/>
      <w:pPr>
        <w:ind w:left="2381" w:hanging="360"/>
      </w:pPr>
    </w:lvl>
    <w:lvl w:ilvl="2" w:tplc="040C001B" w:tentative="1">
      <w:start w:val="1"/>
      <w:numFmt w:val="lowerRoman"/>
      <w:lvlText w:val="%3."/>
      <w:lvlJc w:val="right"/>
      <w:pPr>
        <w:ind w:left="3101" w:hanging="180"/>
      </w:pPr>
    </w:lvl>
    <w:lvl w:ilvl="3" w:tplc="040C000F" w:tentative="1">
      <w:start w:val="1"/>
      <w:numFmt w:val="decimal"/>
      <w:lvlText w:val="%4."/>
      <w:lvlJc w:val="left"/>
      <w:pPr>
        <w:ind w:left="3821" w:hanging="360"/>
      </w:pPr>
    </w:lvl>
    <w:lvl w:ilvl="4" w:tplc="040C0019" w:tentative="1">
      <w:start w:val="1"/>
      <w:numFmt w:val="lowerLetter"/>
      <w:lvlText w:val="%5."/>
      <w:lvlJc w:val="left"/>
      <w:pPr>
        <w:ind w:left="4541" w:hanging="360"/>
      </w:pPr>
    </w:lvl>
    <w:lvl w:ilvl="5" w:tplc="040C001B" w:tentative="1">
      <w:start w:val="1"/>
      <w:numFmt w:val="lowerRoman"/>
      <w:lvlText w:val="%6."/>
      <w:lvlJc w:val="right"/>
      <w:pPr>
        <w:ind w:left="5261" w:hanging="180"/>
      </w:pPr>
    </w:lvl>
    <w:lvl w:ilvl="6" w:tplc="040C000F" w:tentative="1">
      <w:start w:val="1"/>
      <w:numFmt w:val="decimal"/>
      <w:lvlText w:val="%7."/>
      <w:lvlJc w:val="left"/>
      <w:pPr>
        <w:ind w:left="5981" w:hanging="360"/>
      </w:pPr>
    </w:lvl>
    <w:lvl w:ilvl="7" w:tplc="040C0019" w:tentative="1">
      <w:start w:val="1"/>
      <w:numFmt w:val="lowerLetter"/>
      <w:lvlText w:val="%8."/>
      <w:lvlJc w:val="left"/>
      <w:pPr>
        <w:ind w:left="6701" w:hanging="360"/>
      </w:pPr>
    </w:lvl>
    <w:lvl w:ilvl="8" w:tplc="040C001B" w:tentative="1">
      <w:start w:val="1"/>
      <w:numFmt w:val="lowerRoman"/>
      <w:lvlText w:val="%9."/>
      <w:lvlJc w:val="right"/>
      <w:pPr>
        <w:ind w:left="7421" w:hanging="180"/>
      </w:pPr>
    </w:lvl>
  </w:abstractNum>
  <w:abstractNum w:abstractNumId="48" w15:restartNumberingAfterBreak="0">
    <w:nsid w:val="6AFE6333"/>
    <w:multiLevelType w:val="hybridMultilevel"/>
    <w:tmpl w:val="F3CA37FE"/>
    <w:lvl w:ilvl="0" w:tplc="DA988A4C">
      <w:start w:val="65535"/>
      <w:numFmt w:val="bullet"/>
      <w:lvlText w:val="-"/>
      <w:lvlJc w:val="left"/>
      <w:pPr>
        <w:ind w:left="720" w:hanging="360"/>
      </w:pPr>
      <w:rPr>
        <w:rFonts w:ascii="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B846FA3"/>
    <w:multiLevelType w:val="hybridMultilevel"/>
    <w:tmpl w:val="37A882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BD64296"/>
    <w:multiLevelType w:val="hybridMultilevel"/>
    <w:tmpl w:val="62A8272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20329A4"/>
    <w:multiLevelType w:val="hybridMultilevel"/>
    <w:tmpl w:val="75780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34E4495"/>
    <w:multiLevelType w:val="hybridMultilevel"/>
    <w:tmpl w:val="7BA02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5F454D9"/>
    <w:multiLevelType w:val="hybridMultilevel"/>
    <w:tmpl w:val="9B86E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77A67613"/>
    <w:multiLevelType w:val="hybridMultilevel"/>
    <w:tmpl w:val="30C2DC96"/>
    <w:lvl w:ilvl="0" w:tplc="2000000B">
      <w:start w:val="1"/>
      <w:numFmt w:val="bullet"/>
      <w:lvlText w:val=""/>
      <w:lvlJc w:val="left"/>
      <w:pPr>
        <w:ind w:left="785" w:hanging="360"/>
      </w:pPr>
      <w:rPr>
        <w:rFonts w:ascii="Wingdings" w:hAnsi="Wingdings" w:hint="default"/>
      </w:rPr>
    </w:lvl>
    <w:lvl w:ilvl="1" w:tplc="20000003" w:tentative="1">
      <w:start w:val="1"/>
      <w:numFmt w:val="bullet"/>
      <w:lvlText w:val="o"/>
      <w:lvlJc w:val="left"/>
      <w:pPr>
        <w:ind w:left="1505" w:hanging="360"/>
      </w:pPr>
      <w:rPr>
        <w:rFonts w:ascii="Courier New" w:hAnsi="Courier New" w:cs="Courier New" w:hint="default"/>
      </w:rPr>
    </w:lvl>
    <w:lvl w:ilvl="2" w:tplc="20000005" w:tentative="1">
      <w:start w:val="1"/>
      <w:numFmt w:val="bullet"/>
      <w:lvlText w:val=""/>
      <w:lvlJc w:val="left"/>
      <w:pPr>
        <w:ind w:left="2225" w:hanging="360"/>
      </w:pPr>
      <w:rPr>
        <w:rFonts w:ascii="Wingdings" w:hAnsi="Wingdings" w:hint="default"/>
      </w:rPr>
    </w:lvl>
    <w:lvl w:ilvl="3" w:tplc="20000001" w:tentative="1">
      <w:start w:val="1"/>
      <w:numFmt w:val="bullet"/>
      <w:lvlText w:val=""/>
      <w:lvlJc w:val="left"/>
      <w:pPr>
        <w:ind w:left="2945" w:hanging="360"/>
      </w:pPr>
      <w:rPr>
        <w:rFonts w:ascii="Symbol" w:hAnsi="Symbol" w:hint="default"/>
      </w:rPr>
    </w:lvl>
    <w:lvl w:ilvl="4" w:tplc="20000003" w:tentative="1">
      <w:start w:val="1"/>
      <w:numFmt w:val="bullet"/>
      <w:lvlText w:val="o"/>
      <w:lvlJc w:val="left"/>
      <w:pPr>
        <w:ind w:left="3665" w:hanging="360"/>
      </w:pPr>
      <w:rPr>
        <w:rFonts w:ascii="Courier New" w:hAnsi="Courier New" w:cs="Courier New" w:hint="default"/>
      </w:rPr>
    </w:lvl>
    <w:lvl w:ilvl="5" w:tplc="20000005" w:tentative="1">
      <w:start w:val="1"/>
      <w:numFmt w:val="bullet"/>
      <w:lvlText w:val=""/>
      <w:lvlJc w:val="left"/>
      <w:pPr>
        <w:ind w:left="4385" w:hanging="360"/>
      </w:pPr>
      <w:rPr>
        <w:rFonts w:ascii="Wingdings" w:hAnsi="Wingdings" w:hint="default"/>
      </w:rPr>
    </w:lvl>
    <w:lvl w:ilvl="6" w:tplc="20000001" w:tentative="1">
      <w:start w:val="1"/>
      <w:numFmt w:val="bullet"/>
      <w:lvlText w:val=""/>
      <w:lvlJc w:val="left"/>
      <w:pPr>
        <w:ind w:left="5105" w:hanging="360"/>
      </w:pPr>
      <w:rPr>
        <w:rFonts w:ascii="Symbol" w:hAnsi="Symbol" w:hint="default"/>
      </w:rPr>
    </w:lvl>
    <w:lvl w:ilvl="7" w:tplc="20000003" w:tentative="1">
      <w:start w:val="1"/>
      <w:numFmt w:val="bullet"/>
      <w:lvlText w:val="o"/>
      <w:lvlJc w:val="left"/>
      <w:pPr>
        <w:ind w:left="5825" w:hanging="360"/>
      </w:pPr>
      <w:rPr>
        <w:rFonts w:ascii="Courier New" w:hAnsi="Courier New" w:cs="Courier New" w:hint="default"/>
      </w:rPr>
    </w:lvl>
    <w:lvl w:ilvl="8" w:tplc="20000005" w:tentative="1">
      <w:start w:val="1"/>
      <w:numFmt w:val="bullet"/>
      <w:lvlText w:val=""/>
      <w:lvlJc w:val="left"/>
      <w:pPr>
        <w:ind w:left="6545" w:hanging="360"/>
      </w:pPr>
      <w:rPr>
        <w:rFonts w:ascii="Wingdings" w:hAnsi="Wingdings" w:hint="default"/>
      </w:rPr>
    </w:lvl>
  </w:abstractNum>
  <w:abstractNum w:abstractNumId="55" w15:restartNumberingAfterBreak="0">
    <w:nsid w:val="77CA454C"/>
    <w:multiLevelType w:val="multilevel"/>
    <w:tmpl w:val="BF8286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7AA0169F"/>
    <w:multiLevelType w:val="multilevel"/>
    <w:tmpl w:val="3CBA29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3"/>
  </w:num>
  <w:num w:numId="2">
    <w:abstractNumId w:val="37"/>
  </w:num>
  <w:num w:numId="3">
    <w:abstractNumId w:val="26"/>
  </w:num>
  <w:num w:numId="4">
    <w:abstractNumId w:val="9"/>
  </w:num>
  <w:num w:numId="5">
    <w:abstractNumId w:val="43"/>
  </w:num>
  <w:num w:numId="6">
    <w:abstractNumId w:val="51"/>
  </w:num>
  <w:num w:numId="7">
    <w:abstractNumId w:val="16"/>
  </w:num>
  <w:num w:numId="8">
    <w:abstractNumId w:val="45"/>
  </w:num>
  <w:num w:numId="9">
    <w:abstractNumId w:val="56"/>
  </w:num>
  <w:num w:numId="10">
    <w:abstractNumId w:val="31"/>
  </w:num>
  <w:num w:numId="11">
    <w:abstractNumId w:val="4"/>
  </w:num>
  <w:num w:numId="12">
    <w:abstractNumId w:val="7"/>
  </w:num>
  <w:num w:numId="13">
    <w:abstractNumId w:val="40"/>
  </w:num>
  <w:num w:numId="14">
    <w:abstractNumId w:val="34"/>
  </w:num>
  <w:num w:numId="15">
    <w:abstractNumId w:val="35"/>
  </w:num>
  <w:num w:numId="16">
    <w:abstractNumId w:val="38"/>
  </w:num>
  <w:num w:numId="17">
    <w:abstractNumId w:val="50"/>
  </w:num>
  <w:num w:numId="18">
    <w:abstractNumId w:val="41"/>
  </w:num>
  <w:num w:numId="19">
    <w:abstractNumId w:val="23"/>
  </w:num>
  <w:num w:numId="20">
    <w:abstractNumId w:val="19"/>
  </w:num>
  <w:num w:numId="21">
    <w:abstractNumId w:val="49"/>
  </w:num>
  <w:num w:numId="22">
    <w:abstractNumId w:val="44"/>
  </w:num>
  <w:num w:numId="23">
    <w:abstractNumId w:val="13"/>
  </w:num>
  <w:num w:numId="24">
    <w:abstractNumId w:val="11"/>
  </w:num>
  <w:num w:numId="25">
    <w:abstractNumId w:val="52"/>
  </w:num>
  <w:num w:numId="26">
    <w:abstractNumId w:val="3"/>
  </w:num>
  <w:num w:numId="27">
    <w:abstractNumId w:val="55"/>
  </w:num>
  <w:num w:numId="28">
    <w:abstractNumId w:val="46"/>
  </w:num>
  <w:num w:numId="29">
    <w:abstractNumId w:val="10"/>
  </w:num>
  <w:num w:numId="30">
    <w:abstractNumId w:val="22"/>
  </w:num>
  <w:num w:numId="31">
    <w:abstractNumId w:val="48"/>
  </w:num>
  <w:num w:numId="32">
    <w:abstractNumId w:val="0"/>
  </w:num>
  <w:num w:numId="33">
    <w:abstractNumId w:val="1"/>
  </w:num>
  <w:num w:numId="34">
    <w:abstractNumId w:val="47"/>
  </w:num>
  <w:num w:numId="35">
    <w:abstractNumId w:val="2"/>
  </w:num>
  <w:num w:numId="36">
    <w:abstractNumId w:val="21"/>
  </w:num>
  <w:num w:numId="37">
    <w:abstractNumId w:val="32"/>
  </w:num>
  <w:num w:numId="38">
    <w:abstractNumId w:val="6"/>
  </w:num>
  <w:num w:numId="39">
    <w:abstractNumId w:val="39"/>
  </w:num>
  <w:num w:numId="40">
    <w:abstractNumId w:val="42"/>
  </w:num>
  <w:num w:numId="41">
    <w:abstractNumId w:val="29"/>
  </w:num>
  <w:num w:numId="42">
    <w:abstractNumId w:val="53"/>
  </w:num>
  <w:num w:numId="43">
    <w:abstractNumId w:val="20"/>
  </w:num>
  <w:num w:numId="44">
    <w:abstractNumId w:val="28"/>
  </w:num>
  <w:num w:numId="45">
    <w:abstractNumId w:val="17"/>
  </w:num>
  <w:num w:numId="46">
    <w:abstractNumId w:val="15"/>
  </w:num>
  <w:num w:numId="47">
    <w:abstractNumId w:val="54"/>
  </w:num>
  <w:num w:numId="48">
    <w:abstractNumId w:val="25"/>
  </w:num>
  <w:num w:numId="49">
    <w:abstractNumId w:val="36"/>
  </w:num>
  <w:num w:numId="50">
    <w:abstractNumId w:val="8"/>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num>
  <w:num w:numId="64">
    <w:abstractNumId w:val="24"/>
  </w:num>
  <w:num w:numId="65">
    <w:abstractNumId w:val="12"/>
  </w:num>
  <w:num w:numId="66">
    <w:abstractNumId w:val="27"/>
  </w:num>
  <w:num w:numId="67">
    <w:abstractNumId w:val="18"/>
  </w:num>
  <w:num w:numId="68">
    <w:abstractNumId w:val="30"/>
  </w:num>
  <w:num w:numId="69">
    <w:abstractNumId w:val="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5DF"/>
    <w:rsid w:val="00001ACA"/>
    <w:rsid w:val="0000269F"/>
    <w:rsid w:val="00003187"/>
    <w:rsid w:val="00005977"/>
    <w:rsid w:val="000065FB"/>
    <w:rsid w:val="00007A34"/>
    <w:rsid w:val="000105C4"/>
    <w:rsid w:val="00011494"/>
    <w:rsid w:val="00012B31"/>
    <w:rsid w:val="000158AB"/>
    <w:rsid w:val="0002227D"/>
    <w:rsid w:val="0002273D"/>
    <w:rsid w:val="00024C98"/>
    <w:rsid w:val="0002596E"/>
    <w:rsid w:val="0003089A"/>
    <w:rsid w:val="000327A4"/>
    <w:rsid w:val="000356EB"/>
    <w:rsid w:val="00035900"/>
    <w:rsid w:val="00041187"/>
    <w:rsid w:val="0004276E"/>
    <w:rsid w:val="000434AC"/>
    <w:rsid w:val="000439BB"/>
    <w:rsid w:val="00043A73"/>
    <w:rsid w:val="00044195"/>
    <w:rsid w:val="000456AD"/>
    <w:rsid w:val="000467FE"/>
    <w:rsid w:val="00046C2F"/>
    <w:rsid w:val="00051BFC"/>
    <w:rsid w:val="000548CD"/>
    <w:rsid w:val="00060328"/>
    <w:rsid w:val="0006067B"/>
    <w:rsid w:val="00060DE0"/>
    <w:rsid w:val="00065A71"/>
    <w:rsid w:val="00065B69"/>
    <w:rsid w:val="00071911"/>
    <w:rsid w:val="0007361D"/>
    <w:rsid w:val="00073A62"/>
    <w:rsid w:val="00073FBB"/>
    <w:rsid w:val="00085DFF"/>
    <w:rsid w:val="00086867"/>
    <w:rsid w:val="00091B0A"/>
    <w:rsid w:val="00094C57"/>
    <w:rsid w:val="000956D4"/>
    <w:rsid w:val="00096848"/>
    <w:rsid w:val="00097DC3"/>
    <w:rsid w:val="000A17B6"/>
    <w:rsid w:val="000B0CF4"/>
    <w:rsid w:val="000B1DAC"/>
    <w:rsid w:val="000B3D0E"/>
    <w:rsid w:val="000B46E7"/>
    <w:rsid w:val="000C029C"/>
    <w:rsid w:val="000C5702"/>
    <w:rsid w:val="000C6BC1"/>
    <w:rsid w:val="000D13EE"/>
    <w:rsid w:val="000D1A83"/>
    <w:rsid w:val="000D218D"/>
    <w:rsid w:val="000D2C86"/>
    <w:rsid w:val="000D3523"/>
    <w:rsid w:val="000D49EB"/>
    <w:rsid w:val="000D4C51"/>
    <w:rsid w:val="000D54CE"/>
    <w:rsid w:val="000D54D2"/>
    <w:rsid w:val="000D5BCE"/>
    <w:rsid w:val="000D6329"/>
    <w:rsid w:val="000D7B28"/>
    <w:rsid w:val="000E2AC4"/>
    <w:rsid w:val="000E2CC4"/>
    <w:rsid w:val="000E35D2"/>
    <w:rsid w:val="000E3F88"/>
    <w:rsid w:val="000E4684"/>
    <w:rsid w:val="000F2CFB"/>
    <w:rsid w:val="000F40A3"/>
    <w:rsid w:val="000F4A1F"/>
    <w:rsid w:val="001029D3"/>
    <w:rsid w:val="00104297"/>
    <w:rsid w:val="00106020"/>
    <w:rsid w:val="00106217"/>
    <w:rsid w:val="0011005E"/>
    <w:rsid w:val="00110CB5"/>
    <w:rsid w:val="0011249C"/>
    <w:rsid w:val="00112AEC"/>
    <w:rsid w:val="00113381"/>
    <w:rsid w:val="00114B7A"/>
    <w:rsid w:val="00114BB7"/>
    <w:rsid w:val="00120013"/>
    <w:rsid w:val="00120192"/>
    <w:rsid w:val="001218AA"/>
    <w:rsid w:val="00121EC9"/>
    <w:rsid w:val="00123FC9"/>
    <w:rsid w:val="00124D9F"/>
    <w:rsid w:val="00125E8F"/>
    <w:rsid w:val="00130DF0"/>
    <w:rsid w:val="001315B8"/>
    <w:rsid w:val="00132115"/>
    <w:rsid w:val="00132AE4"/>
    <w:rsid w:val="001342CA"/>
    <w:rsid w:val="0013763F"/>
    <w:rsid w:val="00137FAE"/>
    <w:rsid w:val="001416E0"/>
    <w:rsid w:val="00142C66"/>
    <w:rsid w:val="00143298"/>
    <w:rsid w:val="00150A1D"/>
    <w:rsid w:val="00150E1E"/>
    <w:rsid w:val="00153B11"/>
    <w:rsid w:val="00153E36"/>
    <w:rsid w:val="00155430"/>
    <w:rsid w:val="00156CB1"/>
    <w:rsid w:val="00156DA2"/>
    <w:rsid w:val="00157077"/>
    <w:rsid w:val="00157D41"/>
    <w:rsid w:val="001608CC"/>
    <w:rsid w:val="001623B7"/>
    <w:rsid w:val="00163D24"/>
    <w:rsid w:val="00164237"/>
    <w:rsid w:val="001666EE"/>
    <w:rsid w:val="00166FFE"/>
    <w:rsid w:val="00167F5E"/>
    <w:rsid w:val="00171433"/>
    <w:rsid w:val="00171A62"/>
    <w:rsid w:val="00173A6E"/>
    <w:rsid w:val="001766EF"/>
    <w:rsid w:val="001774C4"/>
    <w:rsid w:val="001829BD"/>
    <w:rsid w:val="00186BDE"/>
    <w:rsid w:val="001874AD"/>
    <w:rsid w:val="00194E3B"/>
    <w:rsid w:val="001A0CAC"/>
    <w:rsid w:val="001A0DBF"/>
    <w:rsid w:val="001A177E"/>
    <w:rsid w:val="001A4017"/>
    <w:rsid w:val="001A473D"/>
    <w:rsid w:val="001A626C"/>
    <w:rsid w:val="001B0B79"/>
    <w:rsid w:val="001B33E6"/>
    <w:rsid w:val="001B44D9"/>
    <w:rsid w:val="001B5AAC"/>
    <w:rsid w:val="001B61AB"/>
    <w:rsid w:val="001B7892"/>
    <w:rsid w:val="001C2575"/>
    <w:rsid w:val="001C27BD"/>
    <w:rsid w:val="001C34B1"/>
    <w:rsid w:val="001C6D98"/>
    <w:rsid w:val="001C7F6E"/>
    <w:rsid w:val="001D4A20"/>
    <w:rsid w:val="001E0335"/>
    <w:rsid w:val="001E0D13"/>
    <w:rsid w:val="001E2279"/>
    <w:rsid w:val="001E2E1B"/>
    <w:rsid w:val="001E456A"/>
    <w:rsid w:val="001E5EF3"/>
    <w:rsid w:val="001F18AC"/>
    <w:rsid w:val="001F2A14"/>
    <w:rsid w:val="001F3A76"/>
    <w:rsid w:val="001F6A01"/>
    <w:rsid w:val="001F76CD"/>
    <w:rsid w:val="001F7A68"/>
    <w:rsid w:val="00200CA2"/>
    <w:rsid w:val="00200DBD"/>
    <w:rsid w:val="00201486"/>
    <w:rsid w:val="00202922"/>
    <w:rsid w:val="00202A78"/>
    <w:rsid w:val="002041E8"/>
    <w:rsid w:val="00205333"/>
    <w:rsid w:val="00206081"/>
    <w:rsid w:val="002061CD"/>
    <w:rsid w:val="00206620"/>
    <w:rsid w:val="00206E2E"/>
    <w:rsid w:val="002111E2"/>
    <w:rsid w:val="00222F49"/>
    <w:rsid w:val="002231EF"/>
    <w:rsid w:val="00224F19"/>
    <w:rsid w:val="00232A32"/>
    <w:rsid w:val="002336DE"/>
    <w:rsid w:val="002341BB"/>
    <w:rsid w:val="002351CD"/>
    <w:rsid w:val="00237522"/>
    <w:rsid w:val="00240D7F"/>
    <w:rsid w:val="00243804"/>
    <w:rsid w:val="00245075"/>
    <w:rsid w:val="002475FE"/>
    <w:rsid w:val="00247846"/>
    <w:rsid w:val="00251797"/>
    <w:rsid w:val="00252D8B"/>
    <w:rsid w:val="0025334A"/>
    <w:rsid w:val="0025392B"/>
    <w:rsid w:val="00254D93"/>
    <w:rsid w:val="0025513F"/>
    <w:rsid w:val="00257676"/>
    <w:rsid w:val="00267250"/>
    <w:rsid w:val="0027232B"/>
    <w:rsid w:val="002744D6"/>
    <w:rsid w:val="00274C19"/>
    <w:rsid w:val="0027534D"/>
    <w:rsid w:val="00275F6F"/>
    <w:rsid w:val="0027614C"/>
    <w:rsid w:val="002817E5"/>
    <w:rsid w:val="002819EC"/>
    <w:rsid w:val="00282B91"/>
    <w:rsid w:val="00283607"/>
    <w:rsid w:val="00283C7E"/>
    <w:rsid w:val="0028507A"/>
    <w:rsid w:val="0028570A"/>
    <w:rsid w:val="0028713B"/>
    <w:rsid w:val="002874F4"/>
    <w:rsid w:val="002906C6"/>
    <w:rsid w:val="002942F5"/>
    <w:rsid w:val="00294B2E"/>
    <w:rsid w:val="00294D62"/>
    <w:rsid w:val="002951AB"/>
    <w:rsid w:val="00295B27"/>
    <w:rsid w:val="00296064"/>
    <w:rsid w:val="002A048A"/>
    <w:rsid w:val="002A0B62"/>
    <w:rsid w:val="002A0E9E"/>
    <w:rsid w:val="002A3B9D"/>
    <w:rsid w:val="002A5CBF"/>
    <w:rsid w:val="002A71A6"/>
    <w:rsid w:val="002A7964"/>
    <w:rsid w:val="002B5202"/>
    <w:rsid w:val="002B5D3D"/>
    <w:rsid w:val="002C04CE"/>
    <w:rsid w:val="002C1EA6"/>
    <w:rsid w:val="002C2551"/>
    <w:rsid w:val="002C3007"/>
    <w:rsid w:val="002C5C2D"/>
    <w:rsid w:val="002C63FC"/>
    <w:rsid w:val="002C71D2"/>
    <w:rsid w:val="002D4D76"/>
    <w:rsid w:val="002D6537"/>
    <w:rsid w:val="002D66A9"/>
    <w:rsid w:val="002D71AF"/>
    <w:rsid w:val="002E0827"/>
    <w:rsid w:val="002E32E4"/>
    <w:rsid w:val="002E410D"/>
    <w:rsid w:val="002E4F07"/>
    <w:rsid w:val="002E5173"/>
    <w:rsid w:val="002E5EB9"/>
    <w:rsid w:val="002E68DB"/>
    <w:rsid w:val="002E6AC8"/>
    <w:rsid w:val="002F009A"/>
    <w:rsid w:val="002F00DA"/>
    <w:rsid w:val="002F1606"/>
    <w:rsid w:val="002F4DEB"/>
    <w:rsid w:val="002F6EC1"/>
    <w:rsid w:val="0030042E"/>
    <w:rsid w:val="0030072A"/>
    <w:rsid w:val="003012F4"/>
    <w:rsid w:val="00302F1F"/>
    <w:rsid w:val="00303960"/>
    <w:rsid w:val="0030433A"/>
    <w:rsid w:val="00304D11"/>
    <w:rsid w:val="00306C3F"/>
    <w:rsid w:val="00315DF9"/>
    <w:rsid w:val="003178A6"/>
    <w:rsid w:val="00317B7F"/>
    <w:rsid w:val="00317CBE"/>
    <w:rsid w:val="003228D1"/>
    <w:rsid w:val="00327751"/>
    <w:rsid w:val="00330970"/>
    <w:rsid w:val="0033144A"/>
    <w:rsid w:val="00332219"/>
    <w:rsid w:val="00341453"/>
    <w:rsid w:val="00341CD8"/>
    <w:rsid w:val="003420DA"/>
    <w:rsid w:val="0034334F"/>
    <w:rsid w:val="0034378C"/>
    <w:rsid w:val="00356ED6"/>
    <w:rsid w:val="00357D31"/>
    <w:rsid w:val="0036099E"/>
    <w:rsid w:val="003616A3"/>
    <w:rsid w:val="00361842"/>
    <w:rsid w:val="00362056"/>
    <w:rsid w:val="003623E5"/>
    <w:rsid w:val="00362559"/>
    <w:rsid w:val="00374C25"/>
    <w:rsid w:val="00376082"/>
    <w:rsid w:val="00377787"/>
    <w:rsid w:val="00377F9E"/>
    <w:rsid w:val="003811E0"/>
    <w:rsid w:val="00381AC8"/>
    <w:rsid w:val="00381F7C"/>
    <w:rsid w:val="00382A72"/>
    <w:rsid w:val="003838A4"/>
    <w:rsid w:val="00384600"/>
    <w:rsid w:val="00385E59"/>
    <w:rsid w:val="00387669"/>
    <w:rsid w:val="00390404"/>
    <w:rsid w:val="00390649"/>
    <w:rsid w:val="00390E4B"/>
    <w:rsid w:val="00390F2D"/>
    <w:rsid w:val="00391BE7"/>
    <w:rsid w:val="00393E4F"/>
    <w:rsid w:val="00394732"/>
    <w:rsid w:val="00396C1F"/>
    <w:rsid w:val="003A1067"/>
    <w:rsid w:val="003A253F"/>
    <w:rsid w:val="003A4C59"/>
    <w:rsid w:val="003A5967"/>
    <w:rsid w:val="003A6E03"/>
    <w:rsid w:val="003B0EA3"/>
    <w:rsid w:val="003B10A3"/>
    <w:rsid w:val="003B29F6"/>
    <w:rsid w:val="003B3871"/>
    <w:rsid w:val="003B3FCC"/>
    <w:rsid w:val="003B4457"/>
    <w:rsid w:val="003B6686"/>
    <w:rsid w:val="003B6C0C"/>
    <w:rsid w:val="003C2E92"/>
    <w:rsid w:val="003C3216"/>
    <w:rsid w:val="003C4A76"/>
    <w:rsid w:val="003C600E"/>
    <w:rsid w:val="003C64CF"/>
    <w:rsid w:val="003C6D1C"/>
    <w:rsid w:val="003D0655"/>
    <w:rsid w:val="003D0A1B"/>
    <w:rsid w:val="003D2097"/>
    <w:rsid w:val="003D555E"/>
    <w:rsid w:val="003D6D92"/>
    <w:rsid w:val="003D73FC"/>
    <w:rsid w:val="003D7472"/>
    <w:rsid w:val="003E120E"/>
    <w:rsid w:val="003E1591"/>
    <w:rsid w:val="003E1661"/>
    <w:rsid w:val="003E2843"/>
    <w:rsid w:val="003E388D"/>
    <w:rsid w:val="003E40A1"/>
    <w:rsid w:val="003E4225"/>
    <w:rsid w:val="003E4BD2"/>
    <w:rsid w:val="003E6C63"/>
    <w:rsid w:val="003E6F1A"/>
    <w:rsid w:val="003F3466"/>
    <w:rsid w:val="003F40BE"/>
    <w:rsid w:val="003F53EF"/>
    <w:rsid w:val="0040003B"/>
    <w:rsid w:val="00400575"/>
    <w:rsid w:val="004047CA"/>
    <w:rsid w:val="0040737B"/>
    <w:rsid w:val="00407FF8"/>
    <w:rsid w:val="0041145E"/>
    <w:rsid w:val="0041154D"/>
    <w:rsid w:val="00417906"/>
    <w:rsid w:val="00417C50"/>
    <w:rsid w:val="00420915"/>
    <w:rsid w:val="00423637"/>
    <w:rsid w:val="00424374"/>
    <w:rsid w:val="00426351"/>
    <w:rsid w:val="004263A2"/>
    <w:rsid w:val="00426C4F"/>
    <w:rsid w:val="00427325"/>
    <w:rsid w:val="00427671"/>
    <w:rsid w:val="0043047C"/>
    <w:rsid w:val="004307E6"/>
    <w:rsid w:val="004313C3"/>
    <w:rsid w:val="0043190C"/>
    <w:rsid w:val="00431A08"/>
    <w:rsid w:val="00431F93"/>
    <w:rsid w:val="0043488A"/>
    <w:rsid w:val="00437196"/>
    <w:rsid w:val="004373E6"/>
    <w:rsid w:val="00437AD2"/>
    <w:rsid w:val="00440F4A"/>
    <w:rsid w:val="0044112A"/>
    <w:rsid w:val="00444826"/>
    <w:rsid w:val="0044539C"/>
    <w:rsid w:val="00447FC7"/>
    <w:rsid w:val="00450852"/>
    <w:rsid w:val="00451152"/>
    <w:rsid w:val="00452001"/>
    <w:rsid w:val="00452C23"/>
    <w:rsid w:val="00453E8A"/>
    <w:rsid w:val="004567A6"/>
    <w:rsid w:val="0045775B"/>
    <w:rsid w:val="00460391"/>
    <w:rsid w:val="0046056D"/>
    <w:rsid w:val="00460761"/>
    <w:rsid w:val="004624E5"/>
    <w:rsid w:val="00462748"/>
    <w:rsid w:val="00462DD9"/>
    <w:rsid w:val="00464632"/>
    <w:rsid w:val="004655E3"/>
    <w:rsid w:val="004744FE"/>
    <w:rsid w:val="00474882"/>
    <w:rsid w:val="00475DB0"/>
    <w:rsid w:val="00481941"/>
    <w:rsid w:val="00482961"/>
    <w:rsid w:val="00487938"/>
    <w:rsid w:val="00490AA6"/>
    <w:rsid w:val="00493A62"/>
    <w:rsid w:val="0049464E"/>
    <w:rsid w:val="0049547D"/>
    <w:rsid w:val="0049599D"/>
    <w:rsid w:val="004976CD"/>
    <w:rsid w:val="004A18CE"/>
    <w:rsid w:val="004A1DDD"/>
    <w:rsid w:val="004A248A"/>
    <w:rsid w:val="004A3C81"/>
    <w:rsid w:val="004A3F69"/>
    <w:rsid w:val="004A555B"/>
    <w:rsid w:val="004A654C"/>
    <w:rsid w:val="004A6BC0"/>
    <w:rsid w:val="004B162B"/>
    <w:rsid w:val="004B1723"/>
    <w:rsid w:val="004B1BE5"/>
    <w:rsid w:val="004B2F30"/>
    <w:rsid w:val="004B5C61"/>
    <w:rsid w:val="004B6104"/>
    <w:rsid w:val="004B6A30"/>
    <w:rsid w:val="004B6B1E"/>
    <w:rsid w:val="004B6D0A"/>
    <w:rsid w:val="004C058B"/>
    <w:rsid w:val="004C0949"/>
    <w:rsid w:val="004C0C33"/>
    <w:rsid w:val="004C1919"/>
    <w:rsid w:val="004C7778"/>
    <w:rsid w:val="004C7816"/>
    <w:rsid w:val="004D28DE"/>
    <w:rsid w:val="004D47F0"/>
    <w:rsid w:val="004E3387"/>
    <w:rsid w:val="004E50BD"/>
    <w:rsid w:val="004E5754"/>
    <w:rsid w:val="004E7010"/>
    <w:rsid w:val="004F0794"/>
    <w:rsid w:val="004F082E"/>
    <w:rsid w:val="004F255F"/>
    <w:rsid w:val="004F4D18"/>
    <w:rsid w:val="004F5EF0"/>
    <w:rsid w:val="004F671F"/>
    <w:rsid w:val="005004B7"/>
    <w:rsid w:val="00502EE1"/>
    <w:rsid w:val="00503ADA"/>
    <w:rsid w:val="00507B87"/>
    <w:rsid w:val="00511452"/>
    <w:rsid w:val="00512FFD"/>
    <w:rsid w:val="005163B8"/>
    <w:rsid w:val="005177DD"/>
    <w:rsid w:val="00517B0D"/>
    <w:rsid w:val="00520D58"/>
    <w:rsid w:val="00521B07"/>
    <w:rsid w:val="005324EA"/>
    <w:rsid w:val="00533980"/>
    <w:rsid w:val="00534602"/>
    <w:rsid w:val="00534E01"/>
    <w:rsid w:val="00535988"/>
    <w:rsid w:val="00535D6A"/>
    <w:rsid w:val="005361EF"/>
    <w:rsid w:val="005364A4"/>
    <w:rsid w:val="00540594"/>
    <w:rsid w:val="00540C8D"/>
    <w:rsid w:val="00541CFD"/>
    <w:rsid w:val="00542335"/>
    <w:rsid w:val="005433F5"/>
    <w:rsid w:val="00551D55"/>
    <w:rsid w:val="005548DD"/>
    <w:rsid w:val="00554DC8"/>
    <w:rsid w:val="00556C0D"/>
    <w:rsid w:val="00557B82"/>
    <w:rsid w:val="0056088A"/>
    <w:rsid w:val="005615CB"/>
    <w:rsid w:val="00564E2C"/>
    <w:rsid w:val="00565E5E"/>
    <w:rsid w:val="00566659"/>
    <w:rsid w:val="00566CC7"/>
    <w:rsid w:val="005670A3"/>
    <w:rsid w:val="0057270B"/>
    <w:rsid w:val="0057570C"/>
    <w:rsid w:val="00575B53"/>
    <w:rsid w:val="00581F59"/>
    <w:rsid w:val="005846AE"/>
    <w:rsid w:val="00585503"/>
    <w:rsid w:val="00590394"/>
    <w:rsid w:val="00591CB3"/>
    <w:rsid w:val="00592E45"/>
    <w:rsid w:val="005950E9"/>
    <w:rsid w:val="005960A3"/>
    <w:rsid w:val="00596735"/>
    <w:rsid w:val="005A33E5"/>
    <w:rsid w:val="005A5ED8"/>
    <w:rsid w:val="005B0228"/>
    <w:rsid w:val="005B179E"/>
    <w:rsid w:val="005B4AFB"/>
    <w:rsid w:val="005B4E31"/>
    <w:rsid w:val="005B62BC"/>
    <w:rsid w:val="005B65AA"/>
    <w:rsid w:val="005C0BAC"/>
    <w:rsid w:val="005C5596"/>
    <w:rsid w:val="005C5B31"/>
    <w:rsid w:val="005C740A"/>
    <w:rsid w:val="005D1A82"/>
    <w:rsid w:val="005D42F9"/>
    <w:rsid w:val="005D498D"/>
    <w:rsid w:val="005D51D6"/>
    <w:rsid w:val="005D6271"/>
    <w:rsid w:val="005D67F3"/>
    <w:rsid w:val="005D6CB0"/>
    <w:rsid w:val="005D76FE"/>
    <w:rsid w:val="005D7F70"/>
    <w:rsid w:val="005E353C"/>
    <w:rsid w:val="005E4FBD"/>
    <w:rsid w:val="005E6184"/>
    <w:rsid w:val="005F34E3"/>
    <w:rsid w:val="005F400A"/>
    <w:rsid w:val="005F40E8"/>
    <w:rsid w:val="00600BB2"/>
    <w:rsid w:val="00604DD8"/>
    <w:rsid w:val="0060588A"/>
    <w:rsid w:val="0061010C"/>
    <w:rsid w:val="00612740"/>
    <w:rsid w:val="0061434B"/>
    <w:rsid w:val="006154DD"/>
    <w:rsid w:val="00616C21"/>
    <w:rsid w:val="00617827"/>
    <w:rsid w:val="00617AA3"/>
    <w:rsid w:val="00620379"/>
    <w:rsid w:val="00620F25"/>
    <w:rsid w:val="00621FF7"/>
    <w:rsid w:val="00622F47"/>
    <w:rsid w:val="006248AE"/>
    <w:rsid w:val="0062748F"/>
    <w:rsid w:val="00627EF7"/>
    <w:rsid w:val="0063241F"/>
    <w:rsid w:val="006329F6"/>
    <w:rsid w:val="0063624C"/>
    <w:rsid w:val="00637774"/>
    <w:rsid w:val="00637E25"/>
    <w:rsid w:val="00640D55"/>
    <w:rsid w:val="006417FE"/>
    <w:rsid w:val="00644D5E"/>
    <w:rsid w:val="00645978"/>
    <w:rsid w:val="00646879"/>
    <w:rsid w:val="00647F71"/>
    <w:rsid w:val="006504A0"/>
    <w:rsid w:val="0065250C"/>
    <w:rsid w:val="006558B7"/>
    <w:rsid w:val="006574D5"/>
    <w:rsid w:val="00657C21"/>
    <w:rsid w:val="00661336"/>
    <w:rsid w:val="00662D5E"/>
    <w:rsid w:val="00663354"/>
    <w:rsid w:val="00670ABD"/>
    <w:rsid w:val="006717FC"/>
    <w:rsid w:val="00672FDA"/>
    <w:rsid w:val="00676807"/>
    <w:rsid w:val="006776F9"/>
    <w:rsid w:val="00685498"/>
    <w:rsid w:val="0068629B"/>
    <w:rsid w:val="00686AEE"/>
    <w:rsid w:val="00690DB1"/>
    <w:rsid w:val="006918B7"/>
    <w:rsid w:val="006924F2"/>
    <w:rsid w:val="0069280F"/>
    <w:rsid w:val="0069354D"/>
    <w:rsid w:val="00694EFA"/>
    <w:rsid w:val="00695937"/>
    <w:rsid w:val="006967D1"/>
    <w:rsid w:val="00697610"/>
    <w:rsid w:val="00697BFD"/>
    <w:rsid w:val="006A01E3"/>
    <w:rsid w:val="006A2517"/>
    <w:rsid w:val="006A2585"/>
    <w:rsid w:val="006A3C49"/>
    <w:rsid w:val="006A4F86"/>
    <w:rsid w:val="006A54E9"/>
    <w:rsid w:val="006A6FF3"/>
    <w:rsid w:val="006A7368"/>
    <w:rsid w:val="006A7741"/>
    <w:rsid w:val="006B296E"/>
    <w:rsid w:val="006B2D85"/>
    <w:rsid w:val="006B3F8F"/>
    <w:rsid w:val="006B482B"/>
    <w:rsid w:val="006B5662"/>
    <w:rsid w:val="006B5DCE"/>
    <w:rsid w:val="006B7E47"/>
    <w:rsid w:val="006C0217"/>
    <w:rsid w:val="006C0AE9"/>
    <w:rsid w:val="006C1A22"/>
    <w:rsid w:val="006C3BC8"/>
    <w:rsid w:val="006C3CAE"/>
    <w:rsid w:val="006C55D8"/>
    <w:rsid w:val="006C5CCD"/>
    <w:rsid w:val="006C7CF0"/>
    <w:rsid w:val="006D0516"/>
    <w:rsid w:val="006D19B6"/>
    <w:rsid w:val="006D2DC6"/>
    <w:rsid w:val="006D371A"/>
    <w:rsid w:val="006D409A"/>
    <w:rsid w:val="006D4198"/>
    <w:rsid w:val="006D44DE"/>
    <w:rsid w:val="006D4D7F"/>
    <w:rsid w:val="006D5E4A"/>
    <w:rsid w:val="006E00FB"/>
    <w:rsid w:val="006E3C8D"/>
    <w:rsid w:val="006E56AE"/>
    <w:rsid w:val="006E5967"/>
    <w:rsid w:val="006E6162"/>
    <w:rsid w:val="006E6232"/>
    <w:rsid w:val="006F0D1D"/>
    <w:rsid w:val="006F2839"/>
    <w:rsid w:val="006F2888"/>
    <w:rsid w:val="006F2CA7"/>
    <w:rsid w:val="0070007E"/>
    <w:rsid w:val="00700322"/>
    <w:rsid w:val="0070093A"/>
    <w:rsid w:val="007056FC"/>
    <w:rsid w:val="007066AD"/>
    <w:rsid w:val="00707FC7"/>
    <w:rsid w:val="00715E6B"/>
    <w:rsid w:val="0071679A"/>
    <w:rsid w:val="0071690A"/>
    <w:rsid w:val="00716B8F"/>
    <w:rsid w:val="00720AD6"/>
    <w:rsid w:val="00720DE2"/>
    <w:rsid w:val="007217DC"/>
    <w:rsid w:val="007217FC"/>
    <w:rsid w:val="00722857"/>
    <w:rsid w:val="00723D3B"/>
    <w:rsid w:val="00724829"/>
    <w:rsid w:val="00724CC9"/>
    <w:rsid w:val="00725359"/>
    <w:rsid w:val="00726D67"/>
    <w:rsid w:val="00726E8C"/>
    <w:rsid w:val="00727313"/>
    <w:rsid w:val="0072775A"/>
    <w:rsid w:val="00727A5D"/>
    <w:rsid w:val="00732167"/>
    <w:rsid w:val="00734402"/>
    <w:rsid w:val="007407F1"/>
    <w:rsid w:val="0075353C"/>
    <w:rsid w:val="007557C2"/>
    <w:rsid w:val="00756422"/>
    <w:rsid w:val="00756824"/>
    <w:rsid w:val="00765FDE"/>
    <w:rsid w:val="007676CF"/>
    <w:rsid w:val="00767DE5"/>
    <w:rsid w:val="00767EC4"/>
    <w:rsid w:val="007711D2"/>
    <w:rsid w:val="007723A1"/>
    <w:rsid w:val="00773D7C"/>
    <w:rsid w:val="00773F5F"/>
    <w:rsid w:val="00775368"/>
    <w:rsid w:val="007765E3"/>
    <w:rsid w:val="00777188"/>
    <w:rsid w:val="00780A20"/>
    <w:rsid w:val="0078681B"/>
    <w:rsid w:val="0078700D"/>
    <w:rsid w:val="007878C0"/>
    <w:rsid w:val="00787CE9"/>
    <w:rsid w:val="007906D6"/>
    <w:rsid w:val="00790D6E"/>
    <w:rsid w:val="00793434"/>
    <w:rsid w:val="00794281"/>
    <w:rsid w:val="00794D5D"/>
    <w:rsid w:val="007973A9"/>
    <w:rsid w:val="007A2A89"/>
    <w:rsid w:val="007A346D"/>
    <w:rsid w:val="007A5B49"/>
    <w:rsid w:val="007A76AC"/>
    <w:rsid w:val="007B1789"/>
    <w:rsid w:val="007B280B"/>
    <w:rsid w:val="007B438D"/>
    <w:rsid w:val="007B5955"/>
    <w:rsid w:val="007B6A90"/>
    <w:rsid w:val="007B71D7"/>
    <w:rsid w:val="007C01E7"/>
    <w:rsid w:val="007C18FE"/>
    <w:rsid w:val="007C358C"/>
    <w:rsid w:val="007C65A6"/>
    <w:rsid w:val="007C780E"/>
    <w:rsid w:val="007D0D03"/>
    <w:rsid w:val="007D22C2"/>
    <w:rsid w:val="007D2EE0"/>
    <w:rsid w:val="007D31B9"/>
    <w:rsid w:val="007D6A3A"/>
    <w:rsid w:val="007D7376"/>
    <w:rsid w:val="007E039F"/>
    <w:rsid w:val="007E0E33"/>
    <w:rsid w:val="007E68AA"/>
    <w:rsid w:val="007E6AC0"/>
    <w:rsid w:val="007F1657"/>
    <w:rsid w:val="007F75D5"/>
    <w:rsid w:val="008049BC"/>
    <w:rsid w:val="008068C6"/>
    <w:rsid w:val="008115FC"/>
    <w:rsid w:val="00812EDE"/>
    <w:rsid w:val="0081499D"/>
    <w:rsid w:val="00814B3A"/>
    <w:rsid w:val="008163AA"/>
    <w:rsid w:val="0082032A"/>
    <w:rsid w:val="00821818"/>
    <w:rsid w:val="00831071"/>
    <w:rsid w:val="008327BF"/>
    <w:rsid w:val="008341F2"/>
    <w:rsid w:val="00837680"/>
    <w:rsid w:val="00841D8A"/>
    <w:rsid w:val="00843405"/>
    <w:rsid w:val="0084456C"/>
    <w:rsid w:val="008453E4"/>
    <w:rsid w:val="00846874"/>
    <w:rsid w:val="00846BD4"/>
    <w:rsid w:val="00853A17"/>
    <w:rsid w:val="00854799"/>
    <w:rsid w:val="00854858"/>
    <w:rsid w:val="00855256"/>
    <w:rsid w:val="008604ED"/>
    <w:rsid w:val="00860DBA"/>
    <w:rsid w:val="00861269"/>
    <w:rsid w:val="008658BE"/>
    <w:rsid w:val="00865A02"/>
    <w:rsid w:val="00865C90"/>
    <w:rsid w:val="0086788E"/>
    <w:rsid w:val="0087073B"/>
    <w:rsid w:val="00870BD2"/>
    <w:rsid w:val="00870C81"/>
    <w:rsid w:val="00873DBF"/>
    <w:rsid w:val="0087404F"/>
    <w:rsid w:val="00874410"/>
    <w:rsid w:val="00874F29"/>
    <w:rsid w:val="00877479"/>
    <w:rsid w:val="00883D20"/>
    <w:rsid w:val="00887774"/>
    <w:rsid w:val="00892DD4"/>
    <w:rsid w:val="00894CDF"/>
    <w:rsid w:val="008958B6"/>
    <w:rsid w:val="00896BC4"/>
    <w:rsid w:val="008A10F6"/>
    <w:rsid w:val="008A20CA"/>
    <w:rsid w:val="008A45F3"/>
    <w:rsid w:val="008A4B61"/>
    <w:rsid w:val="008A4E03"/>
    <w:rsid w:val="008B2997"/>
    <w:rsid w:val="008B345C"/>
    <w:rsid w:val="008B40E6"/>
    <w:rsid w:val="008B694B"/>
    <w:rsid w:val="008C34FB"/>
    <w:rsid w:val="008C5183"/>
    <w:rsid w:val="008D0303"/>
    <w:rsid w:val="008D23B2"/>
    <w:rsid w:val="008D3AEB"/>
    <w:rsid w:val="008D3FAB"/>
    <w:rsid w:val="008D439B"/>
    <w:rsid w:val="008D6B3A"/>
    <w:rsid w:val="008D76BE"/>
    <w:rsid w:val="008E30C5"/>
    <w:rsid w:val="008E4BEF"/>
    <w:rsid w:val="008E5EA9"/>
    <w:rsid w:val="008F01C2"/>
    <w:rsid w:val="008F06E8"/>
    <w:rsid w:val="008F295F"/>
    <w:rsid w:val="008F4424"/>
    <w:rsid w:val="008F5430"/>
    <w:rsid w:val="008F799F"/>
    <w:rsid w:val="00901B8D"/>
    <w:rsid w:val="00902B49"/>
    <w:rsid w:val="00903FA4"/>
    <w:rsid w:val="00903FA9"/>
    <w:rsid w:val="00907570"/>
    <w:rsid w:val="00907653"/>
    <w:rsid w:val="00910AB8"/>
    <w:rsid w:val="00911506"/>
    <w:rsid w:val="009123CE"/>
    <w:rsid w:val="00912EE0"/>
    <w:rsid w:val="009169F6"/>
    <w:rsid w:val="00916B94"/>
    <w:rsid w:val="009212D7"/>
    <w:rsid w:val="009220D3"/>
    <w:rsid w:val="00922FB3"/>
    <w:rsid w:val="00923DA8"/>
    <w:rsid w:val="00925586"/>
    <w:rsid w:val="009258A6"/>
    <w:rsid w:val="00925A4D"/>
    <w:rsid w:val="009263C9"/>
    <w:rsid w:val="00926591"/>
    <w:rsid w:val="00931A2D"/>
    <w:rsid w:val="009340C8"/>
    <w:rsid w:val="00935103"/>
    <w:rsid w:val="0093719B"/>
    <w:rsid w:val="00942B25"/>
    <w:rsid w:val="00944948"/>
    <w:rsid w:val="009541F3"/>
    <w:rsid w:val="00955B2B"/>
    <w:rsid w:val="00957713"/>
    <w:rsid w:val="0096009E"/>
    <w:rsid w:val="00962524"/>
    <w:rsid w:val="0096463B"/>
    <w:rsid w:val="0097144B"/>
    <w:rsid w:val="00971A02"/>
    <w:rsid w:val="00971EC7"/>
    <w:rsid w:val="00972D91"/>
    <w:rsid w:val="00973DBE"/>
    <w:rsid w:val="00974370"/>
    <w:rsid w:val="00975B07"/>
    <w:rsid w:val="00976833"/>
    <w:rsid w:val="00976C05"/>
    <w:rsid w:val="0098204C"/>
    <w:rsid w:val="00984618"/>
    <w:rsid w:val="00984E14"/>
    <w:rsid w:val="0098604F"/>
    <w:rsid w:val="00986FA5"/>
    <w:rsid w:val="00987421"/>
    <w:rsid w:val="00987CEA"/>
    <w:rsid w:val="00987E77"/>
    <w:rsid w:val="0099164D"/>
    <w:rsid w:val="0099464A"/>
    <w:rsid w:val="009952C9"/>
    <w:rsid w:val="009A1689"/>
    <w:rsid w:val="009A33BD"/>
    <w:rsid w:val="009A3B74"/>
    <w:rsid w:val="009A4AFB"/>
    <w:rsid w:val="009A695C"/>
    <w:rsid w:val="009A784B"/>
    <w:rsid w:val="009B12F6"/>
    <w:rsid w:val="009B2898"/>
    <w:rsid w:val="009B5066"/>
    <w:rsid w:val="009C05BA"/>
    <w:rsid w:val="009C0C5E"/>
    <w:rsid w:val="009C220E"/>
    <w:rsid w:val="009C2343"/>
    <w:rsid w:val="009C2B5C"/>
    <w:rsid w:val="009C4826"/>
    <w:rsid w:val="009C4EA2"/>
    <w:rsid w:val="009C6EA8"/>
    <w:rsid w:val="009D1DB7"/>
    <w:rsid w:val="009D1F04"/>
    <w:rsid w:val="009D43C2"/>
    <w:rsid w:val="009D5924"/>
    <w:rsid w:val="009D613D"/>
    <w:rsid w:val="009D64B6"/>
    <w:rsid w:val="009E26B8"/>
    <w:rsid w:val="009E2D9C"/>
    <w:rsid w:val="009E617C"/>
    <w:rsid w:val="009E7460"/>
    <w:rsid w:val="009F0024"/>
    <w:rsid w:val="009F1857"/>
    <w:rsid w:val="009F1AFA"/>
    <w:rsid w:val="009F3D33"/>
    <w:rsid w:val="009F4282"/>
    <w:rsid w:val="009F5F67"/>
    <w:rsid w:val="009F7F46"/>
    <w:rsid w:val="009F7F5F"/>
    <w:rsid w:val="00A00652"/>
    <w:rsid w:val="00A031EA"/>
    <w:rsid w:val="00A0331A"/>
    <w:rsid w:val="00A03A04"/>
    <w:rsid w:val="00A04A98"/>
    <w:rsid w:val="00A06EF0"/>
    <w:rsid w:val="00A1095A"/>
    <w:rsid w:val="00A11582"/>
    <w:rsid w:val="00A16C61"/>
    <w:rsid w:val="00A17051"/>
    <w:rsid w:val="00A20289"/>
    <w:rsid w:val="00A21064"/>
    <w:rsid w:val="00A23BC1"/>
    <w:rsid w:val="00A26A87"/>
    <w:rsid w:val="00A30434"/>
    <w:rsid w:val="00A32410"/>
    <w:rsid w:val="00A34488"/>
    <w:rsid w:val="00A347FE"/>
    <w:rsid w:val="00A35736"/>
    <w:rsid w:val="00A35C28"/>
    <w:rsid w:val="00A37953"/>
    <w:rsid w:val="00A45784"/>
    <w:rsid w:val="00A51D41"/>
    <w:rsid w:val="00A5396B"/>
    <w:rsid w:val="00A54B92"/>
    <w:rsid w:val="00A6184E"/>
    <w:rsid w:val="00A63BE0"/>
    <w:rsid w:val="00A70056"/>
    <w:rsid w:val="00A713BB"/>
    <w:rsid w:val="00A725DF"/>
    <w:rsid w:val="00A75874"/>
    <w:rsid w:val="00A7712A"/>
    <w:rsid w:val="00A77A09"/>
    <w:rsid w:val="00A77F6D"/>
    <w:rsid w:val="00A8196F"/>
    <w:rsid w:val="00A82646"/>
    <w:rsid w:val="00A8444C"/>
    <w:rsid w:val="00A8565A"/>
    <w:rsid w:val="00A85E7C"/>
    <w:rsid w:val="00A87A32"/>
    <w:rsid w:val="00A9391A"/>
    <w:rsid w:val="00A94772"/>
    <w:rsid w:val="00AA0AE9"/>
    <w:rsid w:val="00AA0CBC"/>
    <w:rsid w:val="00AA1C98"/>
    <w:rsid w:val="00AA255F"/>
    <w:rsid w:val="00AA2EEC"/>
    <w:rsid w:val="00AA4E98"/>
    <w:rsid w:val="00AA4F1C"/>
    <w:rsid w:val="00AA5BE9"/>
    <w:rsid w:val="00AA71D3"/>
    <w:rsid w:val="00AB5589"/>
    <w:rsid w:val="00AB6985"/>
    <w:rsid w:val="00AB79F0"/>
    <w:rsid w:val="00AC0535"/>
    <w:rsid w:val="00AC1DC5"/>
    <w:rsid w:val="00AC21E4"/>
    <w:rsid w:val="00AC25F4"/>
    <w:rsid w:val="00AC3857"/>
    <w:rsid w:val="00AC52B0"/>
    <w:rsid w:val="00AC57E9"/>
    <w:rsid w:val="00AC7295"/>
    <w:rsid w:val="00AC745D"/>
    <w:rsid w:val="00AD1A63"/>
    <w:rsid w:val="00AD1BE4"/>
    <w:rsid w:val="00AD2076"/>
    <w:rsid w:val="00AD4100"/>
    <w:rsid w:val="00AD5857"/>
    <w:rsid w:val="00AE2964"/>
    <w:rsid w:val="00AE2D00"/>
    <w:rsid w:val="00AE4AC0"/>
    <w:rsid w:val="00AE64A7"/>
    <w:rsid w:val="00AF3793"/>
    <w:rsid w:val="00AF6CCB"/>
    <w:rsid w:val="00AF72EC"/>
    <w:rsid w:val="00B015E5"/>
    <w:rsid w:val="00B05829"/>
    <w:rsid w:val="00B06008"/>
    <w:rsid w:val="00B13591"/>
    <w:rsid w:val="00B15555"/>
    <w:rsid w:val="00B158D7"/>
    <w:rsid w:val="00B202B4"/>
    <w:rsid w:val="00B2066A"/>
    <w:rsid w:val="00B244D4"/>
    <w:rsid w:val="00B30759"/>
    <w:rsid w:val="00B31C3F"/>
    <w:rsid w:val="00B327C2"/>
    <w:rsid w:val="00B33D24"/>
    <w:rsid w:val="00B44795"/>
    <w:rsid w:val="00B46448"/>
    <w:rsid w:val="00B46545"/>
    <w:rsid w:val="00B46FCB"/>
    <w:rsid w:val="00B4726F"/>
    <w:rsid w:val="00B50B3B"/>
    <w:rsid w:val="00B538A6"/>
    <w:rsid w:val="00B540B8"/>
    <w:rsid w:val="00B609DA"/>
    <w:rsid w:val="00B6311C"/>
    <w:rsid w:val="00B634DB"/>
    <w:rsid w:val="00B669EB"/>
    <w:rsid w:val="00B675F0"/>
    <w:rsid w:val="00B67862"/>
    <w:rsid w:val="00B678EA"/>
    <w:rsid w:val="00B70A97"/>
    <w:rsid w:val="00B70E59"/>
    <w:rsid w:val="00B71D0C"/>
    <w:rsid w:val="00B72C7C"/>
    <w:rsid w:val="00B74278"/>
    <w:rsid w:val="00B74733"/>
    <w:rsid w:val="00B8164E"/>
    <w:rsid w:val="00B84793"/>
    <w:rsid w:val="00B849DA"/>
    <w:rsid w:val="00B84D97"/>
    <w:rsid w:val="00B91B2A"/>
    <w:rsid w:val="00B93859"/>
    <w:rsid w:val="00B941BC"/>
    <w:rsid w:val="00B94FD8"/>
    <w:rsid w:val="00B95159"/>
    <w:rsid w:val="00B96BA8"/>
    <w:rsid w:val="00B97A51"/>
    <w:rsid w:val="00BA0202"/>
    <w:rsid w:val="00BA2D09"/>
    <w:rsid w:val="00BA6552"/>
    <w:rsid w:val="00BA6A4C"/>
    <w:rsid w:val="00BA7573"/>
    <w:rsid w:val="00BA75ED"/>
    <w:rsid w:val="00BA7A34"/>
    <w:rsid w:val="00BB0BA5"/>
    <w:rsid w:val="00BB198E"/>
    <w:rsid w:val="00BB5382"/>
    <w:rsid w:val="00BB6541"/>
    <w:rsid w:val="00BC1B83"/>
    <w:rsid w:val="00BC2CE2"/>
    <w:rsid w:val="00BD0973"/>
    <w:rsid w:val="00BD1FFD"/>
    <w:rsid w:val="00BD24B1"/>
    <w:rsid w:val="00BD2810"/>
    <w:rsid w:val="00BD29A9"/>
    <w:rsid w:val="00BD6964"/>
    <w:rsid w:val="00BD6E96"/>
    <w:rsid w:val="00BE0BCB"/>
    <w:rsid w:val="00BE0CF2"/>
    <w:rsid w:val="00BE0D23"/>
    <w:rsid w:val="00BE19EB"/>
    <w:rsid w:val="00BE5D51"/>
    <w:rsid w:val="00BE5ED5"/>
    <w:rsid w:val="00BF497E"/>
    <w:rsid w:val="00BF500E"/>
    <w:rsid w:val="00BF73E1"/>
    <w:rsid w:val="00BF7D81"/>
    <w:rsid w:val="00C14B34"/>
    <w:rsid w:val="00C17A2B"/>
    <w:rsid w:val="00C17E5B"/>
    <w:rsid w:val="00C20D1E"/>
    <w:rsid w:val="00C212A7"/>
    <w:rsid w:val="00C230FB"/>
    <w:rsid w:val="00C24F8D"/>
    <w:rsid w:val="00C25500"/>
    <w:rsid w:val="00C2583D"/>
    <w:rsid w:val="00C260CB"/>
    <w:rsid w:val="00C265A4"/>
    <w:rsid w:val="00C3147A"/>
    <w:rsid w:val="00C33F8E"/>
    <w:rsid w:val="00C35720"/>
    <w:rsid w:val="00C35FA2"/>
    <w:rsid w:val="00C40BCC"/>
    <w:rsid w:val="00C41458"/>
    <w:rsid w:val="00C43DD2"/>
    <w:rsid w:val="00C468EE"/>
    <w:rsid w:val="00C46F35"/>
    <w:rsid w:val="00C47476"/>
    <w:rsid w:val="00C505AF"/>
    <w:rsid w:val="00C51409"/>
    <w:rsid w:val="00C51743"/>
    <w:rsid w:val="00C530C5"/>
    <w:rsid w:val="00C5330F"/>
    <w:rsid w:val="00C537D1"/>
    <w:rsid w:val="00C55768"/>
    <w:rsid w:val="00C5588A"/>
    <w:rsid w:val="00C55E37"/>
    <w:rsid w:val="00C56CF2"/>
    <w:rsid w:val="00C57602"/>
    <w:rsid w:val="00C577FD"/>
    <w:rsid w:val="00C62CEC"/>
    <w:rsid w:val="00C6388E"/>
    <w:rsid w:val="00C64B95"/>
    <w:rsid w:val="00C66DEB"/>
    <w:rsid w:val="00C6723C"/>
    <w:rsid w:val="00C67B93"/>
    <w:rsid w:val="00C713C6"/>
    <w:rsid w:val="00C72332"/>
    <w:rsid w:val="00C747A3"/>
    <w:rsid w:val="00C75E87"/>
    <w:rsid w:val="00C76602"/>
    <w:rsid w:val="00C77A35"/>
    <w:rsid w:val="00C77DC8"/>
    <w:rsid w:val="00C81A27"/>
    <w:rsid w:val="00C81CF2"/>
    <w:rsid w:val="00C8684B"/>
    <w:rsid w:val="00C90073"/>
    <w:rsid w:val="00C90FD0"/>
    <w:rsid w:val="00C95492"/>
    <w:rsid w:val="00CA3068"/>
    <w:rsid w:val="00CA392D"/>
    <w:rsid w:val="00CA4E5C"/>
    <w:rsid w:val="00CB0A01"/>
    <w:rsid w:val="00CB0D7C"/>
    <w:rsid w:val="00CB1E80"/>
    <w:rsid w:val="00CB3EDE"/>
    <w:rsid w:val="00CB53DC"/>
    <w:rsid w:val="00CB588F"/>
    <w:rsid w:val="00CC233D"/>
    <w:rsid w:val="00CC2561"/>
    <w:rsid w:val="00CC2FF9"/>
    <w:rsid w:val="00CC3C9E"/>
    <w:rsid w:val="00CC7F55"/>
    <w:rsid w:val="00CD010C"/>
    <w:rsid w:val="00CD0B36"/>
    <w:rsid w:val="00CD47B1"/>
    <w:rsid w:val="00CD4F0F"/>
    <w:rsid w:val="00CD4F5E"/>
    <w:rsid w:val="00CD5133"/>
    <w:rsid w:val="00CD5F0D"/>
    <w:rsid w:val="00CD61A7"/>
    <w:rsid w:val="00CD65D8"/>
    <w:rsid w:val="00CE12A0"/>
    <w:rsid w:val="00CE27F2"/>
    <w:rsid w:val="00CF03D7"/>
    <w:rsid w:val="00CF3582"/>
    <w:rsid w:val="00CF7849"/>
    <w:rsid w:val="00D00557"/>
    <w:rsid w:val="00D03EFC"/>
    <w:rsid w:val="00D050F8"/>
    <w:rsid w:val="00D05E4D"/>
    <w:rsid w:val="00D101B0"/>
    <w:rsid w:val="00D114D8"/>
    <w:rsid w:val="00D13CE7"/>
    <w:rsid w:val="00D13F8E"/>
    <w:rsid w:val="00D141E2"/>
    <w:rsid w:val="00D16FA0"/>
    <w:rsid w:val="00D1730A"/>
    <w:rsid w:val="00D20460"/>
    <w:rsid w:val="00D216BB"/>
    <w:rsid w:val="00D22231"/>
    <w:rsid w:val="00D2322F"/>
    <w:rsid w:val="00D23AC2"/>
    <w:rsid w:val="00D268B0"/>
    <w:rsid w:val="00D301AD"/>
    <w:rsid w:val="00D301D0"/>
    <w:rsid w:val="00D30AE0"/>
    <w:rsid w:val="00D3103E"/>
    <w:rsid w:val="00D31804"/>
    <w:rsid w:val="00D31DB0"/>
    <w:rsid w:val="00D3248C"/>
    <w:rsid w:val="00D33D25"/>
    <w:rsid w:val="00D35C3D"/>
    <w:rsid w:val="00D3714B"/>
    <w:rsid w:val="00D374E5"/>
    <w:rsid w:val="00D41C6A"/>
    <w:rsid w:val="00D45813"/>
    <w:rsid w:val="00D4698B"/>
    <w:rsid w:val="00D478B9"/>
    <w:rsid w:val="00D47C61"/>
    <w:rsid w:val="00D47D65"/>
    <w:rsid w:val="00D50726"/>
    <w:rsid w:val="00D51708"/>
    <w:rsid w:val="00D52E26"/>
    <w:rsid w:val="00D53132"/>
    <w:rsid w:val="00D54FA7"/>
    <w:rsid w:val="00D5537D"/>
    <w:rsid w:val="00D56205"/>
    <w:rsid w:val="00D56FD6"/>
    <w:rsid w:val="00D60261"/>
    <w:rsid w:val="00D61527"/>
    <w:rsid w:val="00D62BF6"/>
    <w:rsid w:val="00D63D2F"/>
    <w:rsid w:val="00D64201"/>
    <w:rsid w:val="00D64FF9"/>
    <w:rsid w:val="00D65F45"/>
    <w:rsid w:val="00D6671C"/>
    <w:rsid w:val="00D66B87"/>
    <w:rsid w:val="00D67605"/>
    <w:rsid w:val="00D701C6"/>
    <w:rsid w:val="00D746A1"/>
    <w:rsid w:val="00D74CD9"/>
    <w:rsid w:val="00D7664F"/>
    <w:rsid w:val="00D76BF9"/>
    <w:rsid w:val="00D77186"/>
    <w:rsid w:val="00D81D07"/>
    <w:rsid w:val="00D83320"/>
    <w:rsid w:val="00D8352A"/>
    <w:rsid w:val="00D835B6"/>
    <w:rsid w:val="00D839CE"/>
    <w:rsid w:val="00D84F9D"/>
    <w:rsid w:val="00D85583"/>
    <w:rsid w:val="00D87DAA"/>
    <w:rsid w:val="00D920D3"/>
    <w:rsid w:val="00D92CF9"/>
    <w:rsid w:val="00D93795"/>
    <w:rsid w:val="00D94884"/>
    <w:rsid w:val="00D9585B"/>
    <w:rsid w:val="00D97478"/>
    <w:rsid w:val="00D97E3A"/>
    <w:rsid w:val="00DA0849"/>
    <w:rsid w:val="00DA0B81"/>
    <w:rsid w:val="00DA1A68"/>
    <w:rsid w:val="00DA2AD2"/>
    <w:rsid w:val="00DA33E1"/>
    <w:rsid w:val="00DA36A7"/>
    <w:rsid w:val="00DA6580"/>
    <w:rsid w:val="00DA68B0"/>
    <w:rsid w:val="00DA7A99"/>
    <w:rsid w:val="00DB0180"/>
    <w:rsid w:val="00DB0D1E"/>
    <w:rsid w:val="00DB12AE"/>
    <w:rsid w:val="00DB1A3F"/>
    <w:rsid w:val="00DB21A1"/>
    <w:rsid w:val="00DB2F1E"/>
    <w:rsid w:val="00DB463B"/>
    <w:rsid w:val="00DB54AE"/>
    <w:rsid w:val="00DB6EE6"/>
    <w:rsid w:val="00DB76D9"/>
    <w:rsid w:val="00DC0254"/>
    <w:rsid w:val="00DC03F3"/>
    <w:rsid w:val="00DC059A"/>
    <w:rsid w:val="00DC11DE"/>
    <w:rsid w:val="00DC1C26"/>
    <w:rsid w:val="00DC21A9"/>
    <w:rsid w:val="00DC2B3E"/>
    <w:rsid w:val="00DC306C"/>
    <w:rsid w:val="00DC3A45"/>
    <w:rsid w:val="00DC515F"/>
    <w:rsid w:val="00DC7194"/>
    <w:rsid w:val="00DD071B"/>
    <w:rsid w:val="00DD1B54"/>
    <w:rsid w:val="00DD4D70"/>
    <w:rsid w:val="00DD6BA1"/>
    <w:rsid w:val="00DE0086"/>
    <w:rsid w:val="00DE1901"/>
    <w:rsid w:val="00DE54E3"/>
    <w:rsid w:val="00DE71FB"/>
    <w:rsid w:val="00DE775A"/>
    <w:rsid w:val="00DE7E1E"/>
    <w:rsid w:val="00DF3501"/>
    <w:rsid w:val="00DF586C"/>
    <w:rsid w:val="00DF78D9"/>
    <w:rsid w:val="00E01322"/>
    <w:rsid w:val="00E03994"/>
    <w:rsid w:val="00E05F8F"/>
    <w:rsid w:val="00E05FD2"/>
    <w:rsid w:val="00E07D0D"/>
    <w:rsid w:val="00E1040B"/>
    <w:rsid w:val="00E10525"/>
    <w:rsid w:val="00E11A46"/>
    <w:rsid w:val="00E125F3"/>
    <w:rsid w:val="00E15541"/>
    <w:rsid w:val="00E179E6"/>
    <w:rsid w:val="00E17CAB"/>
    <w:rsid w:val="00E229C0"/>
    <w:rsid w:val="00E2399E"/>
    <w:rsid w:val="00E258DC"/>
    <w:rsid w:val="00E27542"/>
    <w:rsid w:val="00E27FDB"/>
    <w:rsid w:val="00E3027F"/>
    <w:rsid w:val="00E30BBD"/>
    <w:rsid w:val="00E3241A"/>
    <w:rsid w:val="00E32F08"/>
    <w:rsid w:val="00E37D56"/>
    <w:rsid w:val="00E40ADA"/>
    <w:rsid w:val="00E40BAA"/>
    <w:rsid w:val="00E421CC"/>
    <w:rsid w:val="00E42B5D"/>
    <w:rsid w:val="00E4337B"/>
    <w:rsid w:val="00E43AD3"/>
    <w:rsid w:val="00E44F35"/>
    <w:rsid w:val="00E4662A"/>
    <w:rsid w:val="00E4711F"/>
    <w:rsid w:val="00E47693"/>
    <w:rsid w:val="00E50800"/>
    <w:rsid w:val="00E517A1"/>
    <w:rsid w:val="00E534F1"/>
    <w:rsid w:val="00E543F9"/>
    <w:rsid w:val="00E5478D"/>
    <w:rsid w:val="00E54D85"/>
    <w:rsid w:val="00E56C9B"/>
    <w:rsid w:val="00E56F7E"/>
    <w:rsid w:val="00E6148B"/>
    <w:rsid w:val="00E622DC"/>
    <w:rsid w:val="00E630ED"/>
    <w:rsid w:val="00E6417E"/>
    <w:rsid w:val="00E64E64"/>
    <w:rsid w:val="00E66232"/>
    <w:rsid w:val="00E66E11"/>
    <w:rsid w:val="00E7236D"/>
    <w:rsid w:val="00E73A7E"/>
    <w:rsid w:val="00E75911"/>
    <w:rsid w:val="00E76139"/>
    <w:rsid w:val="00E812A4"/>
    <w:rsid w:val="00E81710"/>
    <w:rsid w:val="00E84E68"/>
    <w:rsid w:val="00E94689"/>
    <w:rsid w:val="00E94F0A"/>
    <w:rsid w:val="00E95F7F"/>
    <w:rsid w:val="00E96829"/>
    <w:rsid w:val="00E969FC"/>
    <w:rsid w:val="00E9750E"/>
    <w:rsid w:val="00E9765B"/>
    <w:rsid w:val="00EA07AF"/>
    <w:rsid w:val="00EA0A10"/>
    <w:rsid w:val="00EA18C2"/>
    <w:rsid w:val="00EA43A0"/>
    <w:rsid w:val="00EA5572"/>
    <w:rsid w:val="00EA69E3"/>
    <w:rsid w:val="00EB5956"/>
    <w:rsid w:val="00EC3405"/>
    <w:rsid w:val="00EC44CE"/>
    <w:rsid w:val="00EC57B3"/>
    <w:rsid w:val="00EC59FB"/>
    <w:rsid w:val="00EC697E"/>
    <w:rsid w:val="00ED15B7"/>
    <w:rsid w:val="00ED3180"/>
    <w:rsid w:val="00ED4F2B"/>
    <w:rsid w:val="00ED55A1"/>
    <w:rsid w:val="00EE0EEC"/>
    <w:rsid w:val="00EE23E2"/>
    <w:rsid w:val="00EE3EEC"/>
    <w:rsid w:val="00EE47C7"/>
    <w:rsid w:val="00EE4B2F"/>
    <w:rsid w:val="00EE4D21"/>
    <w:rsid w:val="00EE5263"/>
    <w:rsid w:val="00EF25E8"/>
    <w:rsid w:val="00EF2893"/>
    <w:rsid w:val="00EF5BC6"/>
    <w:rsid w:val="00EF66AD"/>
    <w:rsid w:val="00F02F61"/>
    <w:rsid w:val="00F03A18"/>
    <w:rsid w:val="00F12C92"/>
    <w:rsid w:val="00F131EF"/>
    <w:rsid w:val="00F21561"/>
    <w:rsid w:val="00F21991"/>
    <w:rsid w:val="00F2422D"/>
    <w:rsid w:val="00F30B5F"/>
    <w:rsid w:val="00F322CF"/>
    <w:rsid w:val="00F32F16"/>
    <w:rsid w:val="00F35C71"/>
    <w:rsid w:val="00F35F77"/>
    <w:rsid w:val="00F365AE"/>
    <w:rsid w:val="00F36D16"/>
    <w:rsid w:val="00F37108"/>
    <w:rsid w:val="00F37743"/>
    <w:rsid w:val="00F40246"/>
    <w:rsid w:val="00F41B38"/>
    <w:rsid w:val="00F4209D"/>
    <w:rsid w:val="00F425C1"/>
    <w:rsid w:val="00F478F7"/>
    <w:rsid w:val="00F50EFD"/>
    <w:rsid w:val="00F50FDB"/>
    <w:rsid w:val="00F516C5"/>
    <w:rsid w:val="00F51CB2"/>
    <w:rsid w:val="00F52DE6"/>
    <w:rsid w:val="00F531EB"/>
    <w:rsid w:val="00F538CA"/>
    <w:rsid w:val="00F56202"/>
    <w:rsid w:val="00F57156"/>
    <w:rsid w:val="00F60A60"/>
    <w:rsid w:val="00F66238"/>
    <w:rsid w:val="00F67F7C"/>
    <w:rsid w:val="00F75434"/>
    <w:rsid w:val="00F75F6E"/>
    <w:rsid w:val="00F82BD6"/>
    <w:rsid w:val="00F90BDE"/>
    <w:rsid w:val="00F9423F"/>
    <w:rsid w:val="00FA04F4"/>
    <w:rsid w:val="00FA0E9F"/>
    <w:rsid w:val="00FA22CE"/>
    <w:rsid w:val="00FA27BF"/>
    <w:rsid w:val="00FA2FEC"/>
    <w:rsid w:val="00FA4DD5"/>
    <w:rsid w:val="00FA7625"/>
    <w:rsid w:val="00FB0135"/>
    <w:rsid w:val="00FB0D96"/>
    <w:rsid w:val="00FB4094"/>
    <w:rsid w:val="00FB4299"/>
    <w:rsid w:val="00FB4AF3"/>
    <w:rsid w:val="00FB58AE"/>
    <w:rsid w:val="00FB590B"/>
    <w:rsid w:val="00FB7E3A"/>
    <w:rsid w:val="00FC321A"/>
    <w:rsid w:val="00FC5998"/>
    <w:rsid w:val="00FC7566"/>
    <w:rsid w:val="00FD007D"/>
    <w:rsid w:val="00FD147F"/>
    <w:rsid w:val="00FD3643"/>
    <w:rsid w:val="00FD5BA4"/>
    <w:rsid w:val="00FE060D"/>
    <w:rsid w:val="00FE172A"/>
    <w:rsid w:val="00FE19E4"/>
    <w:rsid w:val="00FE1AB9"/>
    <w:rsid w:val="00FE41C1"/>
    <w:rsid w:val="00FE4497"/>
    <w:rsid w:val="00FF2FA8"/>
    <w:rsid w:val="00FF3DC6"/>
    <w:rsid w:val="00FF41DE"/>
    <w:rsid w:val="00FF5274"/>
    <w:rsid w:val="00FF5358"/>
    <w:rsid w:val="00FF6F1D"/>
    <w:rsid w:val="00FF7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20E9CF"/>
  <w15:chartTrackingRefBased/>
  <w15:docId w15:val="{41B4BB6A-29EC-DE44-8E65-16BC7283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088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6A9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543F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183"/>
    <w:pPr>
      <w:tabs>
        <w:tab w:val="center" w:pos="4513"/>
        <w:tab w:val="right" w:pos="9026"/>
      </w:tabs>
    </w:pPr>
  </w:style>
  <w:style w:type="character" w:customStyle="1" w:styleId="HeaderChar">
    <w:name w:val="Header Char"/>
    <w:basedOn w:val="DefaultParagraphFont"/>
    <w:link w:val="Header"/>
    <w:uiPriority w:val="99"/>
    <w:rsid w:val="008C5183"/>
  </w:style>
  <w:style w:type="paragraph" w:styleId="Footer">
    <w:name w:val="footer"/>
    <w:basedOn w:val="Normal"/>
    <w:link w:val="FooterChar"/>
    <w:uiPriority w:val="99"/>
    <w:unhideWhenUsed/>
    <w:rsid w:val="008C5183"/>
    <w:pPr>
      <w:tabs>
        <w:tab w:val="center" w:pos="4513"/>
        <w:tab w:val="right" w:pos="9026"/>
      </w:tabs>
    </w:pPr>
  </w:style>
  <w:style w:type="character" w:customStyle="1" w:styleId="FooterChar">
    <w:name w:val="Footer Char"/>
    <w:basedOn w:val="DefaultParagraphFont"/>
    <w:link w:val="Footer"/>
    <w:uiPriority w:val="99"/>
    <w:rsid w:val="008C5183"/>
  </w:style>
  <w:style w:type="paragraph" w:styleId="BalloonText">
    <w:name w:val="Balloon Text"/>
    <w:basedOn w:val="Normal"/>
    <w:link w:val="BalloonTextChar"/>
    <w:uiPriority w:val="99"/>
    <w:semiHidden/>
    <w:unhideWhenUsed/>
    <w:rsid w:val="00A0065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0652"/>
    <w:rPr>
      <w:rFonts w:ascii="Times New Roman" w:hAnsi="Times New Roman" w:cs="Times New Roman"/>
      <w:sz w:val="18"/>
      <w:szCs w:val="18"/>
    </w:rPr>
  </w:style>
  <w:style w:type="paragraph" w:styleId="ListParagraph">
    <w:name w:val="List Paragraph"/>
    <w:basedOn w:val="Normal"/>
    <w:uiPriority w:val="34"/>
    <w:qFormat/>
    <w:rsid w:val="000467FE"/>
    <w:pPr>
      <w:ind w:left="720"/>
      <w:contextualSpacing/>
    </w:pPr>
  </w:style>
  <w:style w:type="character" w:customStyle="1" w:styleId="Heading1Char">
    <w:name w:val="Heading 1 Char"/>
    <w:basedOn w:val="DefaultParagraphFont"/>
    <w:link w:val="Heading1"/>
    <w:uiPriority w:val="9"/>
    <w:rsid w:val="0056088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6056D"/>
    <w:pPr>
      <w:spacing w:before="480" w:line="276" w:lineRule="auto"/>
      <w:outlineLvl w:val="9"/>
    </w:pPr>
    <w:rPr>
      <w:b/>
      <w:bCs/>
      <w:sz w:val="28"/>
      <w:szCs w:val="28"/>
    </w:rPr>
  </w:style>
  <w:style w:type="paragraph" w:styleId="TOC1">
    <w:name w:val="toc 1"/>
    <w:basedOn w:val="Normal"/>
    <w:next w:val="Normal"/>
    <w:autoRedefine/>
    <w:uiPriority w:val="39"/>
    <w:unhideWhenUsed/>
    <w:rsid w:val="0046056D"/>
    <w:pPr>
      <w:spacing w:before="120"/>
    </w:pPr>
    <w:rPr>
      <w:b/>
      <w:bCs/>
      <w:i/>
      <w:iCs/>
    </w:rPr>
  </w:style>
  <w:style w:type="character" w:styleId="Hyperlink">
    <w:name w:val="Hyperlink"/>
    <w:basedOn w:val="DefaultParagraphFont"/>
    <w:uiPriority w:val="99"/>
    <w:unhideWhenUsed/>
    <w:rsid w:val="0046056D"/>
    <w:rPr>
      <w:color w:val="0563C1" w:themeColor="hyperlink"/>
      <w:u w:val="single"/>
    </w:rPr>
  </w:style>
  <w:style w:type="paragraph" w:styleId="TOC2">
    <w:name w:val="toc 2"/>
    <w:basedOn w:val="Normal"/>
    <w:next w:val="Normal"/>
    <w:autoRedefine/>
    <w:uiPriority w:val="39"/>
    <w:unhideWhenUsed/>
    <w:rsid w:val="0046056D"/>
    <w:pPr>
      <w:spacing w:before="120"/>
      <w:ind w:left="240"/>
    </w:pPr>
    <w:rPr>
      <w:b/>
      <w:bCs/>
      <w:sz w:val="22"/>
      <w:szCs w:val="22"/>
    </w:rPr>
  </w:style>
  <w:style w:type="paragraph" w:styleId="TOC3">
    <w:name w:val="toc 3"/>
    <w:basedOn w:val="Normal"/>
    <w:next w:val="Normal"/>
    <w:autoRedefine/>
    <w:uiPriority w:val="39"/>
    <w:unhideWhenUsed/>
    <w:rsid w:val="0046056D"/>
    <w:pPr>
      <w:ind w:left="480"/>
    </w:pPr>
    <w:rPr>
      <w:sz w:val="20"/>
      <w:szCs w:val="20"/>
    </w:rPr>
  </w:style>
  <w:style w:type="paragraph" w:styleId="TOC4">
    <w:name w:val="toc 4"/>
    <w:basedOn w:val="Normal"/>
    <w:next w:val="Normal"/>
    <w:autoRedefine/>
    <w:uiPriority w:val="39"/>
    <w:semiHidden/>
    <w:unhideWhenUsed/>
    <w:rsid w:val="0046056D"/>
    <w:pPr>
      <w:ind w:left="720"/>
    </w:pPr>
    <w:rPr>
      <w:sz w:val="20"/>
      <w:szCs w:val="20"/>
    </w:rPr>
  </w:style>
  <w:style w:type="paragraph" w:styleId="TOC5">
    <w:name w:val="toc 5"/>
    <w:basedOn w:val="Normal"/>
    <w:next w:val="Normal"/>
    <w:autoRedefine/>
    <w:uiPriority w:val="39"/>
    <w:semiHidden/>
    <w:unhideWhenUsed/>
    <w:rsid w:val="0046056D"/>
    <w:pPr>
      <w:ind w:left="960"/>
    </w:pPr>
    <w:rPr>
      <w:sz w:val="20"/>
      <w:szCs w:val="20"/>
    </w:rPr>
  </w:style>
  <w:style w:type="paragraph" w:styleId="TOC6">
    <w:name w:val="toc 6"/>
    <w:basedOn w:val="Normal"/>
    <w:next w:val="Normal"/>
    <w:autoRedefine/>
    <w:uiPriority w:val="39"/>
    <w:semiHidden/>
    <w:unhideWhenUsed/>
    <w:rsid w:val="0046056D"/>
    <w:pPr>
      <w:ind w:left="1200"/>
    </w:pPr>
    <w:rPr>
      <w:sz w:val="20"/>
      <w:szCs w:val="20"/>
    </w:rPr>
  </w:style>
  <w:style w:type="paragraph" w:styleId="TOC7">
    <w:name w:val="toc 7"/>
    <w:basedOn w:val="Normal"/>
    <w:next w:val="Normal"/>
    <w:autoRedefine/>
    <w:uiPriority w:val="39"/>
    <w:semiHidden/>
    <w:unhideWhenUsed/>
    <w:rsid w:val="0046056D"/>
    <w:pPr>
      <w:ind w:left="1440"/>
    </w:pPr>
    <w:rPr>
      <w:sz w:val="20"/>
      <w:szCs w:val="20"/>
    </w:rPr>
  </w:style>
  <w:style w:type="paragraph" w:styleId="TOC8">
    <w:name w:val="toc 8"/>
    <w:basedOn w:val="Normal"/>
    <w:next w:val="Normal"/>
    <w:autoRedefine/>
    <w:uiPriority w:val="39"/>
    <w:semiHidden/>
    <w:unhideWhenUsed/>
    <w:rsid w:val="0046056D"/>
    <w:pPr>
      <w:ind w:left="1680"/>
    </w:pPr>
    <w:rPr>
      <w:sz w:val="20"/>
      <w:szCs w:val="20"/>
    </w:rPr>
  </w:style>
  <w:style w:type="paragraph" w:styleId="TOC9">
    <w:name w:val="toc 9"/>
    <w:basedOn w:val="Normal"/>
    <w:next w:val="Normal"/>
    <w:autoRedefine/>
    <w:uiPriority w:val="39"/>
    <w:semiHidden/>
    <w:unhideWhenUsed/>
    <w:rsid w:val="0046056D"/>
    <w:pPr>
      <w:ind w:left="1920"/>
    </w:pPr>
    <w:rPr>
      <w:sz w:val="20"/>
      <w:szCs w:val="20"/>
    </w:rPr>
  </w:style>
  <w:style w:type="character" w:styleId="PageNumber">
    <w:name w:val="page number"/>
    <w:basedOn w:val="DefaultParagraphFont"/>
    <w:uiPriority w:val="99"/>
    <w:semiHidden/>
    <w:unhideWhenUsed/>
    <w:rsid w:val="00110CB5"/>
  </w:style>
  <w:style w:type="character" w:customStyle="1" w:styleId="Heading2Char">
    <w:name w:val="Heading 2 Char"/>
    <w:basedOn w:val="DefaultParagraphFont"/>
    <w:link w:val="Heading2"/>
    <w:uiPriority w:val="9"/>
    <w:rsid w:val="007B6A90"/>
    <w:rPr>
      <w:rFonts w:asciiTheme="majorHAnsi" w:eastAsiaTheme="majorEastAsia" w:hAnsiTheme="majorHAnsi" w:cstheme="majorBidi"/>
      <w:color w:val="2F5496" w:themeColor="accent1" w:themeShade="BF"/>
      <w:sz w:val="26"/>
      <w:szCs w:val="26"/>
    </w:rPr>
  </w:style>
  <w:style w:type="paragraph" w:customStyle="1" w:styleId="Default">
    <w:name w:val="Default"/>
    <w:rsid w:val="00697BFD"/>
    <w:pPr>
      <w:autoSpaceDE w:val="0"/>
      <w:autoSpaceDN w:val="0"/>
      <w:adjustRightInd w:val="0"/>
    </w:pPr>
    <w:rPr>
      <w:rFonts w:ascii="Times New Roman" w:hAnsi="Times New Roman" w:cs="Times New Roman"/>
      <w:color w:val="000000"/>
      <w:lang w:val="en-GB"/>
    </w:rPr>
  </w:style>
  <w:style w:type="table" w:styleId="TableGrid">
    <w:name w:val="Table Grid"/>
    <w:basedOn w:val="TableNormal"/>
    <w:uiPriority w:val="39"/>
    <w:rsid w:val="00620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2EDE"/>
    <w:rPr>
      <w:sz w:val="16"/>
      <w:szCs w:val="16"/>
    </w:rPr>
  </w:style>
  <w:style w:type="paragraph" w:styleId="CommentText">
    <w:name w:val="annotation text"/>
    <w:basedOn w:val="Normal"/>
    <w:link w:val="CommentTextChar"/>
    <w:uiPriority w:val="99"/>
    <w:unhideWhenUsed/>
    <w:rsid w:val="00812EDE"/>
    <w:rPr>
      <w:sz w:val="20"/>
      <w:szCs w:val="20"/>
    </w:rPr>
  </w:style>
  <w:style w:type="character" w:customStyle="1" w:styleId="CommentTextChar">
    <w:name w:val="Comment Text Char"/>
    <w:basedOn w:val="DefaultParagraphFont"/>
    <w:link w:val="CommentText"/>
    <w:uiPriority w:val="99"/>
    <w:rsid w:val="00812EDE"/>
    <w:rPr>
      <w:sz w:val="20"/>
      <w:szCs w:val="20"/>
    </w:rPr>
  </w:style>
  <w:style w:type="paragraph" w:styleId="CommentSubject">
    <w:name w:val="annotation subject"/>
    <w:basedOn w:val="CommentText"/>
    <w:next w:val="CommentText"/>
    <w:link w:val="CommentSubjectChar"/>
    <w:uiPriority w:val="99"/>
    <w:semiHidden/>
    <w:unhideWhenUsed/>
    <w:rsid w:val="00812EDE"/>
    <w:rPr>
      <w:b/>
      <w:bCs/>
    </w:rPr>
  </w:style>
  <w:style w:type="character" w:customStyle="1" w:styleId="CommentSubjectChar">
    <w:name w:val="Comment Subject Char"/>
    <w:basedOn w:val="CommentTextChar"/>
    <w:link w:val="CommentSubject"/>
    <w:uiPriority w:val="99"/>
    <w:semiHidden/>
    <w:rsid w:val="00812EDE"/>
    <w:rPr>
      <w:b/>
      <w:bCs/>
      <w:sz w:val="20"/>
      <w:szCs w:val="20"/>
    </w:rPr>
  </w:style>
  <w:style w:type="table" w:styleId="LightGrid-Accent5">
    <w:name w:val="Light Grid Accent 5"/>
    <w:basedOn w:val="TableNormal"/>
    <w:uiPriority w:val="62"/>
    <w:rsid w:val="00202922"/>
    <w:rPr>
      <w:rFonts w:eastAsiaTheme="minorEastAsia"/>
      <w:sz w:val="22"/>
      <w:szCs w:val="22"/>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character" w:customStyle="1" w:styleId="shorttext">
    <w:name w:val="short_text"/>
    <w:basedOn w:val="DefaultParagraphFont"/>
    <w:rsid w:val="00556C0D"/>
  </w:style>
  <w:style w:type="paragraph" w:styleId="NormalWeb">
    <w:name w:val="Normal (Web)"/>
    <w:basedOn w:val="Normal"/>
    <w:uiPriority w:val="99"/>
    <w:semiHidden/>
    <w:unhideWhenUsed/>
    <w:rsid w:val="006C0AE9"/>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267250"/>
  </w:style>
  <w:style w:type="paragraph" w:styleId="FootnoteText">
    <w:name w:val="footnote text"/>
    <w:aliases w:val="Footnote Text Char Char Char Char Char Char Char Char Char Char Char Char Char Char Char Char Char Char Char Char Char,FOOTNOTES,fn,single space,footnote text,f,Char,Footnote Text Char2 Char,Footnote Text Char1 Char Char,Ch,Geneva 9"/>
    <w:basedOn w:val="Normal"/>
    <w:link w:val="FootnoteTextChar"/>
    <w:uiPriority w:val="99"/>
    <w:unhideWhenUsed/>
    <w:qFormat/>
    <w:rsid w:val="000B1DAC"/>
    <w:rPr>
      <w:rFonts w:ascii="Times New Roman" w:hAnsi="Times New Roman"/>
      <w:sz w:val="20"/>
      <w:szCs w:val="20"/>
      <w:lang w:val="fr-FR"/>
    </w:rPr>
  </w:style>
  <w:style w:type="character" w:customStyle="1" w:styleId="FootnoteTextChar">
    <w:name w:val="Footnote Text Char"/>
    <w:aliases w:val="Footnote Text Char Char Char Char Char Char Char Char Char Char Char Char Char Char Char Char Char Char Char Char Char Char,FOOTNOTES Char,fn Char,single space Char,footnote text Char,f Char,Char Char,Footnote Text Char2 Char Char"/>
    <w:basedOn w:val="DefaultParagraphFont"/>
    <w:link w:val="FootnoteText"/>
    <w:uiPriority w:val="99"/>
    <w:qFormat/>
    <w:rsid w:val="000B1DAC"/>
    <w:rPr>
      <w:rFonts w:ascii="Times New Roman" w:hAnsi="Times New Roman"/>
      <w:sz w:val="20"/>
      <w:szCs w:val="20"/>
      <w:lang w:val="fr-FR"/>
    </w:rPr>
  </w:style>
  <w:style w:type="paragraph" w:customStyle="1" w:styleId="FNRefeCharChar">
    <w:name w:val="FNRefe Char Char"/>
    <w:basedOn w:val="Normal"/>
    <w:link w:val="FootnoteReference"/>
    <w:uiPriority w:val="99"/>
    <w:rsid w:val="000B1DAC"/>
    <w:pPr>
      <w:spacing w:after="160" w:line="240" w:lineRule="exact"/>
    </w:pPr>
    <w:rPr>
      <w:rFonts w:ascii="Times New Roman" w:eastAsia="Calibri" w:hAnsi="Times New Roman" w:cs="Arial"/>
      <w:iCs/>
      <w:szCs w:val="20"/>
      <w:vertAlign w:val="superscript"/>
    </w:rPr>
  </w:style>
  <w:style w:type="character" w:styleId="FootnoteReference">
    <w:name w:val="footnote reference"/>
    <w:aliases w:val="FNRefe Char Char Car,BVI Car,ftref,Footnote Reference Number,Style 6,Char Char Char Char Car Char,16 Point,Superscript 6 Point,Footnote Reference_LVL6,Footnote Reference_LVL61,Footnote Reference_LVL62,Footnote Reference_LVL63"/>
    <w:link w:val="FNRefeCharChar"/>
    <w:uiPriority w:val="99"/>
    <w:unhideWhenUsed/>
    <w:qFormat/>
    <w:rsid w:val="000B1DAC"/>
    <w:rPr>
      <w:rFonts w:ascii="Times New Roman" w:eastAsia="Calibri" w:hAnsi="Times New Roman" w:cs="Arial"/>
      <w:iCs/>
      <w:szCs w:val="20"/>
      <w:vertAlign w:val="superscript"/>
    </w:rPr>
  </w:style>
  <w:style w:type="paragraph" w:styleId="BodyText2">
    <w:name w:val="Body Text 2"/>
    <w:basedOn w:val="Normal"/>
    <w:link w:val="BodyText2Char"/>
    <w:uiPriority w:val="99"/>
    <w:unhideWhenUsed/>
    <w:rsid w:val="000B1DAC"/>
    <w:pPr>
      <w:shd w:val="clear" w:color="auto" w:fill="FFFFFF" w:themeFill="background1"/>
      <w:spacing w:before="120" w:after="120"/>
      <w:ind w:left="851"/>
    </w:pPr>
    <w:rPr>
      <w:rFonts w:ascii="Times New Roman" w:hAnsi="Times New Roman"/>
      <w:lang w:val="fr-FR"/>
    </w:rPr>
  </w:style>
  <w:style w:type="character" w:customStyle="1" w:styleId="BodyText2Char">
    <w:name w:val="Body Text 2 Char"/>
    <w:basedOn w:val="DefaultParagraphFont"/>
    <w:link w:val="BodyText2"/>
    <w:uiPriority w:val="99"/>
    <w:rsid w:val="000B1DAC"/>
    <w:rPr>
      <w:rFonts w:ascii="Times New Roman" w:hAnsi="Times New Roman"/>
      <w:shd w:val="clear" w:color="auto" w:fill="FFFFFF" w:themeFill="background1"/>
      <w:lang w:val="fr-FR"/>
    </w:rPr>
  </w:style>
  <w:style w:type="paragraph" w:styleId="ListBullet5">
    <w:name w:val="List Bullet 5"/>
    <w:basedOn w:val="Normal"/>
    <w:uiPriority w:val="99"/>
    <w:unhideWhenUsed/>
    <w:rsid w:val="000B1DAC"/>
    <w:pPr>
      <w:numPr>
        <w:numId w:val="32"/>
      </w:numPr>
      <w:contextualSpacing/>
    </w:pPr>
    <w:rPr>
      <w:rFonts w:ascii="Times New Roman" w:hAnsi="Times New Roman"/>
      <w:lang w:val="fr-FR"/>
    </w:rPr>
  </w:style>
  <w:style w:type="paragraph" w:styleId="ListBullet4">
    <w:name w:val="List Bullet 4"/>
    <w:basedOn w:val="Normal"/>
    <w:uiPriority w:val="99"/>
    <w:semiHidden/>
    <w:unhideWhenUsed/>
    <w:rsid w:val="00C747A3"/>
    <w:pPr>
      <w:numPr>
        <w:numId w:val="33"/>
      </w:numPr>
      <w:contextualSpacing/>
    </w:pPr>
  </w:style>
  <w:style w:type="paragraph" w:styleId="Title">
    <w:name w:val="Title"/>
    <w:basedOn w:val="Normal"/>
    <w:next w:val="Normal"/>
    <w:link w:val="TitleChar"/>
    <w:uiPriority w:val="10"/>
    <w:qFormat/>
    <w:rsid w:val="00C747A3"/>
    <w:pPr>
      <w:spacing w:after="480"/>
      <w:contextualSpacing/>
      <w:jc w:val="center"/>
    </w:pPr>
    <w:rPr>
      <w:rFonts w:asciiTheme="majorHAnsi" w:eastAsiaTheme="majorEastAsia" w:hAnsiTheme="majorHAnsi" w:cstheme="majorBidi"/>
      <w:spacing w:val="-10"/>
      <w:kern w:val="28"/>
      <w:sz w:val="36"/>
      <w:szCs w:val="56"/>
      <w:lang w:val="fr-FR"/>
    </w:rPr>
  </w:style>
  <w:style w:type="character" w:customStyle="1" w:styleId="TitleChar">
    <w:name w:val="Title Char"/>
    <w:basedOn w:val="DefaultParagraphFont"/>
    <w:link w:val="Title"/>
    <w:uiPriority w:val="10"/>
    <w:rsid w:val="00C747A3"/>
    <w:rPr>
      <w:rFonts w:asciiTheme="majorHAnsi" w:eastAsiaTheme="majorEastAsia" w:hAnsiTheme="majorHAnsi" w:cstheme="majorBidi"/>
      <w:spacing w:val="-10"/>
      <w:kern w:val="28"/>
      <w:sz w:val="36"/>
      <w:szCs w:val="56"/>
      <w:lang w:val="fr-FR"/>
    </w:rPr>
  </w:style>
  <w:style w:type="paragraph" w:styleId="ListNumber4">
    <w:name w:val="List Number 4"/>
    <w:basedOn w:val="ListNumber3"/>
    <w:uiPriority w:val="99"/>
    <w:unhideWhenUsed/>
    <w:rsid w:val="00C747A3"/>
    <w:pPr>
      <w:widowControl w:val="0"/>
      <w:numPr>
        <w:numId w:val="34"/>
      </w:numPr>
      <w:shd w:val="clear" w:color="auto" w:fill="FFFFFF" w:themeFill="background1"/>
      <w:autoSpaceDE w:val="0"/>
      <w:autoSpaceDN w:val="0"/>
      <w:ind w:left="1304" w:hanging="170"/>
      <w:contextualSpacing w:val="0"/>
    </w:pPr>
    <w:rPr>
      <w:rFonts w:ascii="Times New Roman" w:hAnsi="Times New Roman"/>
      <w:bCs/>
      <w:iCs/>
      <w:lang w:val="fr-FR"/>
    </w:rPr>
  </w:style>
  <w:style w:type="paragraph" w:styleId="ListNumber3">
    <w:name w:val="List Number 3"/>
    <w:basedOn w:val="Normal"/>
    <w:uiPriority w:val="99"/>
    <w:semiHidden/>
    <w:unhideWhenUsed/>
    <w:rsid w:val="00C747A3"/>
    <w:pPr>
      <w:ind w:left="1492" w:hanging="360"/>
      <w:contextualSpacing/>
    </w:pPr>
  </w:style>
  <w:style w:type="character" w:customStyle="1" w:styleId="Heading3Char">
    <w:name w:val="Heading 3 Char"/>
    <w:basedOn w:val="DefaultParagraphFont"/>
    <w:link w:val="Heading3"/>
    <w:uiPriority w:val="9"/>
    <w:rsid w:val="00E543F9"/>
    <w:rPr>
      <w:rFonts w:asciiTheme="majorHAnsi" w:eastAsiaTheme="majorEastAsia" w:hAnsiTheme="majorHAnsi" w:cstheme="majorBidi"/>
      <w:color w:val="1F3763" w:themeColor="accent1" w:themeShade="7F"/>
    </w:rPr>
  </w:style>
  <w:style w:type="paragraph" w:styleId="ListBullet2">
    <w:name w:val="List Bullet 2"/>
    <w:basedOn w:val="Normal"/>
    <w:uiPriority w:val="99"/>
    <w:semiHidden/>
    <w:unhideWhenUsed/>
    <w:rsid w:val="00AB79F0"/>
    <w:pPr>
      <w:numPr>
        <w:numId w:val="35"/>
      </w:numPr>
      <w:contextualSpacing/>
    </w:p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uiPriority w:val="99"/>
    <w:rsid w:val="001608CC"/>
    <w:pPr>
      <w:spacing w:after="160" w:line="240" w:lineRule="exact"/>
      <w:ind w:left="360" w:hanging="360"/>
      <w:jc w:val="both"/>
    </w:pPr>
    <w:rPr>
      <w:sz w:val="22"/>
      <w:szCs w:val="22"/>
      <w:vertAlign w:val="superscript"/>
    </w:rPr>
  </w:style>
  <w:style w:type="paragraph" w:styleId="NoSpacing">
    <w:name w:val="No Spacing"/>
    <w:uiPriority w:val="1"/>
    <w:qFormat/>
    <w:rsid w:val="00012B3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454545">
      <w:bodyDiv w:val="1"/>
      <w:marLeft w:val="0"/>
      <w:marRight w:val="0"/>
      <w:marTop w:val="0"/>
      <w:marBottom w:val="0"/>
      <w:divBdr>
        <w:top w:val="none" w:sz="0" w:space="0" w:color="auto"/>
        <w:left w:val="none" w:sz="0" w:space="0" w:color="auto"/>
        <w:bottom w:val="none" w:sz="0" w:space="0" w:color="auto"/>
        <w:right w:val="none" w:sz="0" w:space="0" w:color="auto"/>
      </w:divBdr>
    </w:div>
    <w:div w:id="740760910">
      <w:bodyDiv w:val="1"/>
      <w:marLeft w:val="0"/>
      <w:marRight w:val="0"/>
      <w:marTop w:val="0"/>
      <w:marBottom w:val="0"/>
      <w:divBdr>
        <w:top w:val="none" w:sz="0" w:space="0" w:color="auto"/>
        <w:left w:val="none" w:sz="0" w:space="0" w:color="auto"/>
        <w:bottom w:val="none" w:sz="0" w:space="0" w:color="auto"/>
        <w:right w:val="none" w:sz="0" w:space="0" w:color="auto"/>
      </w:divBdr>
      <w:divsChild>
        <w:div w:id="769668858">
          <w:marLeft w:val="0"/>
          <w:marRight w:val="0"/>
          <w:marTop w:val="0"/>
          <w:marBottom w:val="0"/>
          <w:divBdr>
            <w:top w:val="none" w:sz="0" w:space="0" w:color="auto"/>
            <w:left w:val="none" w:sz="0" w:space="0" w:color="auto"/>
            <w:bottom w:val="none" w:sz="0" w:space="0" w:color="auto"/>
            <w:right w:val="none" w:sz="0" w:space="0" w:color="auto"/>
          </w:divBdr>
        </w:div>
        <w:div w:id="1075006527">
          <w:marLeft w:val="0"/>
          <w:marRight w:val="0"/>
          <w:marTop w:val="0"/>
          <w:marBottom w:val="0"/>
          <w:divBdr>
            <w:top w:val="none" w:sz="0" w:space="0" w:color="auto"/>
            <w:left w:val="none" w:sz="0" w:space="0" w:color="auto"/>
            <w:bottom w:val="none" w:sz="0" w:space="0" w:color="auto"/>
            <w:right w:val="none" w:sz="0" w:space="0" w:color="auto"/>
          </w:divBdr>
        </w:div>
        <w:div w:id="487481135">
          <w:marLeft w:val="0"/>
          <w:marRight w:val="0"/>
          <w:marTop w:val="0"/>
          <w:marBottom w:val="0"/>
          <w:divBdr>
            <w:top w:val="none" w:sz="0" w:space="0" w:color="auto"/>
            <w:left w:val="none" w:sz="0" w:space="0" w:color="auto"/>
            <w:bottom w:val="none" w:sz="0" w:space="0" w:color="auto"/>
            <w:right w:val="none" w:sz="0" w:space="0" w:color="auto"/>
          </w:divBdr>
        </w:div>
      </w:divsChild>
    </w:div>
    <w:div w:id="1033773903">
      <w:bodyDiv w:val="1"/>
      <w:marLeft w:val="0"/>
      <w:marRight w:val="0"/>
      <w:marTop w:val="0"/>
      <w:marBottom w:val="0"/>
      <w:divBdr>
        <w:top w:val="none" w:sz="0" w:space="0" w:color="auto"/>
        <w:left w:val="none" w:sz="0" w:space="0" w:color="auto"/>
        <w:bottom w:val="none" w:sz="0" w:space="0" w:color="auto"/>
        <w:right w:val="none" w:sz="0" w:space="0" w:color="auto"/>
      </w:divBdr>
    </w:div>
    <w:div w:id="1243561792">
      <w:bodyDiv w:val="1"/>
      <w:marLeft w:val="0"/>
      <w:marRight w:val="0"/>
      <w:marTop w:val="0"/>
      <w:marBottom w:val="0"/>
      <w:divBdr>
        <w:top w:val="none" w:sz="0" w:space="0" w:color="auto"/>
        <w:left w:val="none" w:sz="0" w:space="0" w:color="auto"/>
        <w:bottom w:val="none" w:sz="0" w:space="0" w:color="auto"/>
        <w:right w:val="none" w:sz="0" w:space="0" w:color="auto"/>
      </w:divBdr>
    </w:div>
    <w:div w:id="2127845276">
      <w:bodyDiv w:val="1"/>
      <w:marLeft w:val="0"/>
      <w:marRight w:val="0"/>
      <w:marTop w:val="0"/>
      <w:marBottom w:val="0"/>
      <w:divBdr>
        <w:top w:val="none" w:sz="0" w:space="0" w:color="auto"/>
        <w:left w:val="none" w:sz="0" w:space="0" w:color="auto"/>
        <w:bottom w:val="none" w:sz="0" w:space="0" w:color="auto"/>
        <w:right w:val="none" w:sz="0" w:space="0" w:color="auto"/>
      </w:divBdr>
      <w:divsChild>
        <w:div w:id="517934624">
          <w:marLeft w:val="0"/>
          <w:marRight w:val="0"/>
          <w:marTop w:val="0"/>
          <w:marBottom w:val="0"/>
          <w:divBdr>
            <w:top w:val="none" w:sz="0" w:space="0" w:color="auto"/>
            <w:left w:val="none" w:sz="0" w:space="0" w:color="auto"/>
            <w:bottom w:val="none" w:sz="0" w:space="0" w:color="auto"/>
            <w:right w:val="none" w:sz="0" w:space="0" w:color="auto"/>
          </w:divBdr>
        </w:div>
        <w:div w:id="1546407096">
          <w:marLeft w:val="0"/>
          <w:marRight w:val="0"/>
          <w:marTop w:val="0"/>
          <w:marBottom w:val="0"/>
          <w:divBdr>
            <w:top w:val="none" w:sz="0" w:space="0" w:color="auto"/>
            <w:left w:val="none" w:sz="0" w:space="0" w:color="auto"/>
            <w:bottom w:val="none" w:sz="0" w:space="0" w:color="auto"/>
            <w:right w:val="none" w:sz="0" w:space="0" w:color="auto"/>
          </w:divBdr>
        </w:div>
        <w:div w:id="1401904898">
          <w:marLeft w:val="0"/>
          <w:marRight w:val="0"/>
          <w:marTop w:val="0"/>
          <w:marBottom w:val="0"/>
          <w:divBdr>
            <w:top w:val="none" w:sz="0" w:space="0" w:color="auto"/>
            <w:left w:val="none" w:sz="0" w:space="0" w:color="auto"/>
            <w:bottom w:val="none" w:sz="0" w:space="0" w:color="auto"/>
            <w:right w:val="none" w:sz="0" w:space="0" w:color="auto"/>
          </w:divBdr>
        </w:div>
        <w:div w:id="1637292896">
          <w:marLeft w:val="0"/>
          <w:marRight w:val="0"/>
          <w:marTop w:val="0"/>
          <w:marBottom w:val="0"/>
          <w:divBdr>
            <w:top w:val="none" w:sz="0" w:space="0" w:color="auto"/>
            <w:left w:val="none" w:sz="0" w:space="0" w:color="auto"/>
            <w:bottom w:val="none" w:sz="0" w:space="0" w:color="auto"/>
            <w:right w:val="none" w:sz="0" w:space="0" w:color="auto"/>
          </w:divBdr>
        </w:div>
        <w:div w:id="1115562732">
          <w:marLeft w:val="0"/>
          <w:marRight w:val="0"/>
          <w:marTop w:val="0"/>
          <w:marBottom w:val="0"/>
          <w:divBdr>
            <w:top w:val="none" w:sz="0" w:space="0" w:color="auto"/>
            <w:left w:val="none" w:sz="0" w:space="0" w:color="auto"/>
            <w:bottom w:val="none" w:sz="0" w:space="0" w:color="auto"/>
            <w:right w:val="none" w:sz="0" w:space="0" w:color="auto"/>
          </w:divBdr>
        </w:div>
        <w:div w:id="1155494590">
          <w:marLeft w:val="0"/>
          <w:marRight w:val="0"/>
          <w:marTop w:val="0"/>
          <w:marBottom w:val="0"/>
          <w:divBdr>
            <w:top w:val="none" w:sz="0" w:space="0" w:color="auto"/>
            <w:left w:val="none" w:sz="0" w:space="0" w:color="auto"/>
            <w:bottom w:val="none" w:sz="0" w:space="0" w:color="auto"/>
            <w:right w:val="none" w:sz="0" w:space="0" w:color="auto"/>
          </w:divBdr>
        </w:div>
        <w:div w:id="407271049">
          <w:marLeft w:val="0"/>
          <w:marRight w:val="0"/>
          <w:marTop w:val="0"/>
          <w:marBottom w:val="0"/>
          <w:divBdr>
            <w:top w:val="none" w:sz="0" w:space="0" w:color="auto"/>
            <w:left w:val="none" w:sz="0" w:space="0" w:color="auto"/>
            <w:bottom w:val="none" w:sz="0" w:space="0" w:color="auto"/>
            <w:right w:val="none" w:sz="0" w:space="0" w:color="auto"/>
          </w:divBdr>
        </w:div>
        <w:div w:id="29960013">
          <w:marLeft w:val="0"/>
          <w:marRight w:val="0"/>
          <w:marTop w:val="0"/>
          <w:marBottom w:val="0"/>
          <w:divBdr>
            <w:top w:val="none" w:sz="0" w:space="0" w:color="auto"/>
            <w:left w:val="none" w:sz="0" w:space="0" w:color="auto"/>
            <w:bottom w:val="none" w:sz="0" w:space="0" w:color="auto"/>
            <w:right w:val="none" w:sz="0" w:space="0" w:color="auto"/>
          </w:divBdr>
        </w:div>
        <w:div w:id="1141381780">
          <w:marLeft w:val="0"/>
          <w:marRight w:val="0"/>
          <w:marTop w:val="0"/>
          <w:marBottom w:val="0"/>
          <w:divBdr>
            <w:top w:val="none" w:sz="0" w:space="0" w:color="auto"/>
            <w:left w:val="none" w:sz="0" w:space="0" w:color="auto"/>
            <w:bottom w:val="none" w:sz="0" w:space="0" w:color="auto"/>
            <w:right w:val="none" w:sz="0" w:space="0" w:color="auto"/>
          </w:divBdr>
        </w:div>
        <w:div w:id="1003242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ipisresearch.be/publication/political-economy-roadblocks-central-african-republic/" TargetMode="External"/><Relationship Id="rId1" Type="http://schemas.openxmlformats.org/officeDocument/2006/relationships/hyperlink" Target="https://ecofaune.org/IMG/pdf/rapport_transhumance_final_fonds_beko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ProofOfDelivery xmlns="6e998281-2f2f-45fb-a552-ccf96d41eacc" xsi:nil="true"/>
    <Ratings xmlns="http://schemas.microsoft.com/sharepoint/v3" xsi:nil="true"/>
    <LikedBy xmlns="http://schemas.microsoft.com/sharepoint/v3">
      <UserInfo>
        <DisplayName/>
        <AccountId xsi:nil="true"/>
        <AccountType/>
      </UserInfo>
    </LikedBy>
    <PublishingExpirationDate xmlns="http://schemas.microsoft.com/sharepoint/v3" xsi:nil="true"/>
    <WbDocsObjectId xmlns="6e998281-2f2f-45fb-a552-ccf96d41eacc" xsi:nil="true"/>
    <IsDocumentTagged xmlns="6e998281-2f2f-45fb-a552-ccf96d41eacc" xsi:nil="true"/>
    <SubmitToImageBank xmlns="6e998281-2f2f-45fb-a552-ccf96d41eacc" xsi:nil="true"/>
    <PublishingStartDate xmlns="http://schemas.microsoft.com/sharepoint/v3" xsi:nil="true"/>
    <RatedBy xmlns="http://schemas.microsoft.com/sharepoint/v3">
      <UserInfo>
        <DisplayName/>
        <AccountId xsi:nil="true"/>
        <AccountType/>
      </UserInfo>
    </RatedB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50750312C9524D97B30709B36C52E6" ma:contentTypeVersion="7" ma:contentTypeDescription="Create a new document." ma:contentTypeScope="" ma:versionID="26a4e97dbfda4ff538758206a8f90cca">
  <xsd:schema xmlns:xsd="http://www.w3.org/2001/XMLSchema" xmlns:xs="http://www.w3.org/2001/XMLSchema" xmlns:p="http://schemas.microsoft.com/office/2006/metadata/properties" xmlns:ns1="http://schemas.microsoft.com/sharepoint/v3" xmlns:ns2="6e998281-2f2f-45fb-a552-ccf96d41eacc" targetNamespace="http://schemas.microsoft.com/office/2006/metadata/properties" ma:root="true" ma:fieldsID="68f603560fa6b7ee85ad03bd0debdfc5" ns1:_="" ns2:_="">
    <xsd:import namespace="http://schemas.microsoft.com/sharepoint/v3"/>
    <xsd:import namespace="6e998281-2f2f-45fb-a552-ccf96d41eacc"/>
    <xsd:element name="properties">
      <xsd:complexType>
        <xsd:sequence>
          <xsd:element name="documentManagement">
            <xsd:complexType>
              <xsd:all>
                <xsd:element ref="ns2:WbDocsObjectId"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IsDocumentTagged" minOccurs="0"/>
                <xsd:element ref="ns2:ProofOfDelivery" minOccurs="0"/>
                <xsd:element ref="ns2:SubmitToImageB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9" nillable="true" ma:displayName="Rating (0-5)" ma:decimals="2" ma:description="Average value of all the ratings that have been submitted" ma:internalName="AverageRating" ma:readOnly="true">
      <xsd:simpleType>
        <xsd:restriction base="dms:Number"/>
      </xsd:simpleType>
    </xsd:element>
    <xsd:element name="RatingCount" ma:index="10" nillable="true" ma:displayName="Number of Ratings" ma:decimals="0" ma:description="Number of ratings submitted" ma:internalName="RatingCount" ma:readOnly="true">
      <xsd:simpleType>
        <xsd:restriction base="dms:Number"/>
      </xsd:simpleType>
    </xsd:element>
    <xsd:element name="RatedBy" ma:index="1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2" nillable="true" ma:displayName="User ratings" ma:description="User ratings for the item" ma:hidden="true" ma:internalName="Ratings">
      <xsd:simpleType>
        <xsd:restriction base="dms:Note"/>
      </xsd:simpleType>
    </xsd:element>
    <xsd:element name="LikesCount" ma:index="13" nillable="true" ma:displayName="Number of Likes" ma:internalName="LikesCount">
      <xsd:simpleType>
        <xsd:restriction base="dms:Unknown"/>
      </xsd:simpleType>
    </xsd:element>
    <xsd:element name="LikedBy" ma:index="1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998281-2f2f-45fb-a552-ccf96d41eacc" elementFormDefault="qualified">
    <xsd:import namespace="http://schemas.microsoft.com/office/2006/documentManagement/types"/>
    <xsd:import namespace="http://schemas.microsoft.com/office/infopath/2007/PartnerControls"/>
    <xsd:element name="WbDocsObjectId" ma:index="8" nillable="true" ma:displayName="WbDocsObjectId" ma:internalName="WbDocsObjectId">
      <xsd:simpleType>
        <xsd:restriction base="dms:Text">
          <xsd:maxLength value="255"/>
        </xsd:restriction>
      </xsd:simpleType>
    </xsd:element>
    <xsd:element name="IsDocumentTagged" ma:index="17" nillable="true" ma:displayName="IsDocumentTagged" ma:internalName="IsDocumentTagged">
      <xsd:simpleType>
        <xsd:restriction base="dms:Text">
          <xsd:maxLength value="255"/>
        </xsd:restriction>
      </xsd:simpleType>
    </xsd:element>
    <xsd:element name="ProofOfDelivery" ma:index="18" nillable="true" ma:displayName="ProofOfDelivery" ma:internalName="ProofOfDelivery">
      <xsd:simpleType>
        <xsd:restriction base="dms:Text">
          <xsd:maxLength value="255"/>
        </xsd:restriction>
      </xsd:simpleType>
    </xsd:element>
    <xsd:element name="SubmitToImageBank" ma:index="19" nillable="true" ma:displayName="SubmitToImageBank" ma:internalName="SubmitToImageBa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32A350-54A0-4B99-BDCB-66D04C37AC78}">
  <ds:schemaRefs>
    <ds:schemaRef ds:uri="http://schemas.microsoft.com/office/2006/metadata/properties"/>
    <ds:schemaRef ds:uri="http://schemas.microsoft.com/office/infopath/2007/PartnerControls"/>
    <ds:schemaRef ds:uri="http://schemas.microsoft.com/sharepoint/v3"/>
    <ds:schemaRef ds:uri="6e998281-2f2f-45fb-a552-ccf96d41eacc"/>
  </ds:schemaRefs>
</ds:datastoreItem>
</file>

<file path=customXml/itemProps2.xml><?xml version="1.0" encoding="utf-8"?>
<ds:datastoreItem xmlns:ds="http://schemas.openxmlformats.org/officeDocument/2006/customXml" ds:itemID="{DA9B13DB-8726-2641-AC84-D6565A07CC3E}">
  <ds:schemaRefs>
    <ds:schemaRef ds:uri="http://schemas.openxmlformats.org/officeDocument/2006/bibliography"/>
  </ds:schemaRefs>
</ds:datastoreItem>
</file>

<file path=customXml/itemProps3.xml><?xml version="1.0" encoding="utf-8"?>
<ds:datastoreItem xmlns:ds="http://schemas.openxmlformats.org/officeDocument/2006/customXml" ds:itemID="{ADDEC5DA-0E3E-4EDF-A65A-9E4E09A0F579}">
  <ds:schemaRefs>
    <ds:schemaRef ds:uri="http://schemas.microsoft.com/sharepoint/v3/contenttype/forms"/>
  </ds:schemaRefs>
</ds:datastoreItem>
</file>

<file path=customXml/itemProps4.xml><?xml version="1.0" encoding="utf-8"?>
<ds:datastoreItem xmlns:ds="http://schemas.openxmlformats.org/officeDocument/2006/customXml" ds:itemID="{4327AE1E-6D8C-41CC-9B20-78CBB0555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998281-2f2f-45fb-a552-ccf96d41e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1673</Words>
  <Characters>9540</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Other</vt:lpstr>
      <vt:lpstr>Other</vt:lpstr>
    </vt:vector>
  </TitlesOfParts>
  <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dc:title>
  <dc:subject/>
  <dc:creator>Alice E. Beck</dc:creator>
  <cp:keywords/>
  <dc:description/>
  <cp:lastModifiedBy>Yves Bertrand Koudjou Tatang</cp:lastModifiedBy>
  <cp:revision>19</cp:revision>
  <dcterms:created xsi:type="dcterms:W3CDTF">2021-05-01T21:30:00Z</dcterms:created>
  <dcterms:modified xsi:type="dcterms:W3CDTF">2021-05-02T17:45:00Z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0x010100AE50750312C9524D97B30709B36C52E6</vt:lpwstr>
  </property>
  <property fmtid="{D5CDD505-2E9C-101B-9397-08002B2CF9AE}" pid="3" name="Cordis ID">
    <vt:lpwstr>ITM00193</vt:lpwstr>
  </property>
  <property fmtid="{D5CDD505-2E9C-101B-9397-08002B2CF9AE}" pid="4" name="Stage">
    <vt:lpwstr>IMP</vt:lpwstr>
  </property>
  <property fmtid="{D5CDD505-2E9C-101B-9397-08002B2CF9AE}" pid="5" name="IsTemplate">
    <vt:bool>false</vt:bool>
  </property>
  <property fmtid="{D5CDD505-2E9C-101B-9397-08002B2CF9AE}" pid="6" name="HasUserUploaded">
    <vt:bool>true</vt:bool>
  </property>
  <property fmtid="{D5CDD505-2E9C-101B-9397-08002B2CF9AE}" pid="7" name="WBDocType">
    <vt:lpwstr/>
  </property>
  <property fmtid="{D5CDD505-2E9C-101B-9397-08002B2CF9AE}" pid="8" name="ProjectID">
    <vt:lpwstr>P173103</vt:lpwstr>
  </property>
  <property fmtid="{D5CDD505-2E9C-101B-9397-08002B2CF9AE}" pid="9" name="Task ID">
    <vt:lpwstr>P173103</vt:lpwstr>
  </property>
</Properties>
</file>